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3D7B6" w14:textId="77777777" w:rsidR="00A726FB" w:rsidRDefault="00B26444">
      <w:pPr>
        <w:pBdr>
          <w:top w:val="nil"/>
          <w:left w:val="nil"/>
          <w:bottom w:val="nil"/>
          <w:right w:val="nil"/>
          <w:between w:val="nil"/>
        </w:pBdr>
        <w:tabs>
          <w:tab w:val="center" w:pos="4320"/>
          <w:tab w:val="right" w:pos="8640"/>
          <w:tab w:val="right" w:pos="10065"/>
        </w:tabs>
        <w:spacing w:after="0" w:line="240" w:lineRule="auto"/>
        <w:jc w:val="center"/>
        <w:rPr>
          <w:rFonts w:ascii="Arial" w:eastAsia="Arial" w:hAnsi="Arial" w:cs="Arial"/>
          <w:b/>
          <w:color w:val="000000"/>
        </w:rPr>
      </w:pPr>
      <w:r>
        <w:rPr>
          <w:rFonts w:ascii="Arial" w:eastAsia="Arial" w:hAnsi="Arial" w:cs="Arial"/>
          <w:b/>
          <w:color w:val="000000"/>
          <w:sz w:val="36"/>
          <w:szCs w:val="36"/>
        </w:rPr>
        <w:t>ARMA SDC 2025 REPORT</w:t>
      </w:r>
    </w:p>
    <w:p w14:paraId="5203D7B7" w14:textId="77777777" w:rsidR="00A726FB" w:rsidRDefault="00B26444">
      <w:pPr>
        <w:pBdr>
          <w:top w:val="nil"/>
          <w:left w:val="nil"/>
          <w:bottom w:val="nil"/>
          <w:right w:val="nil"/>
          <w:between w:val="nil"/>
        </w:pBdr>
        <w:tabs>
          <w:tab w:val="center" w:pos="4320"/>
          <w:tab w:val="right" w:pos="8640"/>
        </w:tabs>
        <w:spacing w:after="240" w:line="240" w:lineRule="auto"/>
        <w:jc w:val="center"/>
        <w:rPr>
          <w:rFonts w:ascii="Arial" w:eastAsia="Arial" w:hAnsi="Arial" w:cs="Arial"/>
          <w:color w:val="000000"/>
        </w:rPr>
      </w:pPr>
      <w:r>
        <w:rPr>
          <w:rFonts w:ascii="Arial" w:eastAsia="Arial" w:hAnsi="Arial" w:cs="Arial"/>
          <w:color w:val="000000"/>
        </w:rPr>
        <w:t xml:space="preserve">BY </w:t>
      </w:r>
      <w:r>
        <w:rPr>
          <w:rFonts w:ascii="Arial" w:eastAsia="Arial" w:hAnsi="Arial" w:cs="Arial"/>
          <w:b/>
          <w:color w:val="000000"/>
          <w:highlight w:val="yellow"/>
        </w:rPr>
        <w:t>INSERT YOUR TEAM’S NAME HERE</w:t>
      </w:r>
    </w:p>
    <w:p w14:paraId="5203D7B8" w14:textId="77777777" w:rsidR="00A726FB" w:rsidRDefault="00B26444">
      <w:pPr>
        <w:jc w:val="center"/>
        <w:rPr>
          <w:rFonts w:ascii="Arial" w:eastAsia="Arial" w:hAnsi="Arial" w:cs="Arial"/>
        </w:rPr>
      </w:pPr>
      <w:r>
        <w:rPr>
          <w:rFonts w:ascii="Arial" w:eastAsia="Arial" w:hAnsi="Arial" w:cs="Arial"/>
        </w:rPr>
        <w:t xml:space="preserve">LastName1_FirstName1, LastName2_FirstName2, LastName3_FirstName3, LastName4_FirstName4, LastName5_FirstName5 </w:t>
      </w:r>
      <w:sdt>
        <w:sdtPr>
          <w:tag w:val="goog_rdk_0"/>
          <w:id w:val="-563401810"/>
        </w:sdtPr>
        <w:sdtEndPr/>
        <w:sdtContent>
          <w:commentRangeStart w:id="0"/>
        </w:sdtContent>
      </w:sdt>
      <w:r>
        <w:rPr>
          <w:rFonts w:ascii="Arial" w:eastAsia="Arial" w:hAnsi="Arial" w:cs="Arial"/>
          <w:highlight w:val="yellow"/>
        </w:rPr>
        <w:t>(Enter the details of your team members)</w:t>
      </w:r>
      <w:commentRangeEnd w:id="0"/>
      <w:r>
        <w:commentReference w:id="0"/>
      </w:r>
    </w:p>
    <w:p w14:paraId="5203D7B9" w14:textId="77777777" w:rsidR="00A726FB" w:rsidRDefault="00B26444">
      <w:pPr>
        <w:pStyle w:val="Heading1"/>
        <w:numPr>
          <w:ilvl w:val="0"/>
          <w:numId w:val="1"/>
        </w:numPr>
      </w:pPr>
      <w:r>
        <w:t>paper preparation guidelines</w:t>
      </w:r>
    </w:p>
    <w:p w14:paraId="5203D7BA" w14:textId="77777777" w:rsidR="00A726FB" w:rsidRDefault="00B26444">
      <w:r>
        <w:t xml:space="preserve">These instructions have been created using the report template to illustrate the correct format for the preparation of ARMA SDC 2025 reports. </w:t>
      </w:r>
      <w:r>
        <w:rPr>
          <w:highlight w:val="yellow"/>
        </w:rPr>
        <w:t>This document uses highlights and other text decorations for emphasis, but such text decorations should not be used in the reports</w:t>
      </w:r>
      <w:r>
        <w:t>.</w:t>
      </w:r>
    </w:p>
    <w:p w14:paraId="5203D7BB" w14:textId="77777777" w:rsidR="00A726FB" w:rsidRDefault="00B26444">
      <w:pPr>
        <w:pStyle w:val="Heading2"/>
        <w:numPr>
          <w:ilvl w:val="1"/>
          <w:numId w:val="1"/>
        </w:numPr>
      </w:pPr>
      <w:r>
        <w:t>Report submission</w:t>
      </w:r>
    </w:p>
    <w:p w14:paraId="5203D7BC" w14:textId="77777777" w:rsidR="00A726FB" w:rsidRDefault="00B26444">
      <w:r>
        <w:t xml:space="preserve">All reports must be submitted by </w:t>
      </w:r>
      <w:r>
        <w:rPr>
          <w:b/>
        </w:rPr>
        <w:t xml:space="preserve">April 11, 2025, 16:00 CDT </w:t>
      </w:r>
      <w:r>
        <w:t xml:space="preserve">by email to </w:t>
      </w:r>
      <w:hyperlink r:id="rId11">
        <w:r>
          <w:rPr>
            <w:color w:val="0000FF"/>
            <w:u w:val="single"/>
          </w:rPr>
          <w:t>armastudentcouncil@gmail.com</w:t>
        </w:r>
      </w:hyperlink>
      <w:r>
        <w:t xml:space="preserve"> with cc to </w:t>
      </w:r>
      <w:hyperlink r:id="rId12">
        <w:r>
          <w:rPr>
            <w:color w:val="0000FF"/>
            <w:u w:val="single"/>
          </w:rPr>
          <w:t>vrkarnati@etu.uqac.ca</w:t>
        </w:r>
      </w:hyperlink>
      <w:r>
        <w:t xml:space="preserve">. Please ensure that your document meets the formatting guidelines before submitting. Please submit your file as a </w:t>
      </w:r>
      <w:r>
        <w:rPr>
          <w:b/>
        </w:rPr>
        <w:t>.pdf (PDF) document</w:t>
      </w:r>
      <w:r>
        <w:t xml:space="preserve">. </w:t>
      </w:r>
      <w:r>
        <w:rPr>
          <w:b/>
        </w:rPr>
        <w:t>There will not be any extension on the deadline</w:t>
      </w:r>
      <w:r>
        <w:t xml:space="preserve"> and further, late submission of the reports will not be allowed at any cost. The timeline should be respected for consideration in the evaluation. The document should not be password protected.</w:t>
      </w:r>
    </w:p>
    <w:p w14:paraId="5203D7BD" w14:textId="77777777" w:rsidR="00A726FB" w:rsidRDefault="00B26444">
      <w:pPr>
        <w:pStyle w:val="Heading2"/>
        <w:numPr>
          <w:ilvl w:val="1"/>
          <w:numId w:val="1"/>
        </w:numPr>
      </w:pPr>
      <w:r>
        <w:t>Length</w:t>
      </w:r>
    </w:p>
    <w:p w14:paraId="5203D7BE" w14:textId="77777777" w:rsidR="00A726FB" w:rsidRDefault="00B26444">
      <w:r>
        <w:t xml:space="preserve">The preferred length of a report including text, figures, tables, acknowledgements and references (if any) is </w:t>
      </w:r>
      <w:r>
        <w:rPr>
          <w:b/>
        </w:rPr>
        <w:t>EIGHT (8) pages</w:t>
      </w:r>
      <w:r>
        <w:t xml:space="preserve">. However, there is </w:t>
      </w:r>
      <w:r>
        <w:rPr>
          <w:b/>
        </w:rPr>
        <w:t>no formal limit</w:t>
      </w:r>
      <w:r>
        <w:t xml:space="preserve"> on the number of pages, provided content and consistency are maintained.</w:t>
      </w:r>
    </w:p>
    <w:p w14:paraId="5203D7BF" w14:textId="77777777" w:rsidR="00A726FB" w:rsidRDefault="00B26444">
      <w:pPr>
        <w:pStyle w:val="Heading2"/>
        <w:numPr>
          <w:ilvl w:val="1"/>
          <w:numId w:val="1"/>
        </w:numPr>
      </w:pPr>
      <w:r>
        <w:t>Font</w:t>
      </w:r>
    </w:p>
    <w:p w14:paraId="5203D7C0" w14:textId="77777777" w:rsidR="00A726FB" w:rsidRDefault="00B26444">
      <w:r>
        <w:t>All text must be 11-point Times New Roman font with the following exceptions:</w:t>
      </w:r>
    </w:p>
    <w:p w14:paraId="5203D7C1" w14:textId="77777777" w:rsidR="00A726FB" w:rsidRDefault="00B26444">
      <w:pPr>
        <w:numPr>
          <w:ilvl w:val="0"/>
          <w:numId w:val="2"/>
        </w:numPr>
        <w:pBdr>
          <w:top w:val="nil"/>
          <w:left w:val="nil"/>
          <w:bottom w:val="nil"/>
          <w:right w:val="nil"/>
          <w:between w:val="nil"/>
        </w:pBdr>
        <w:spacing w:after="0"/>
      </w:pPr>
      <w:r>
        <w:rPr>
          <w:color w:val="000000"/>
        </w:rPr>
        <w:t xml:space="preserve">The heading ARMA SDC 2025 REPORT must be 18-point Bold Arial font. </w:t>
      </w:r>
    </w:p>
    <w:p w14:paraId="5203D7C2" w14:textId="77777777" w:rsidR="00A726FB" w:rsidRDefault="00B26444">
      <w:pPr>
        <w:numPr>
          <w:ilvl w:val="0"/>
          <w:numId w:val="2"/>
        </w:numPr>
        <w:pBdr>
          <w:top w:val="nil"/>
          <w:left w:val="nil"/>
          <w:bottom w:val="nil"/>
          <w:right w:val="nil"/>
          <w:between w:val="nil"/>
        </w:pBdr>
        <w:spacing w:after="0"/>
      </w:pPr>
      <w:r>
        <w:rPr>
          <w:color w:val="000000"/>
        </w:rPr>
        <w:t>The following words “BY TEAM’S NAME” must be 11-point Arial font. The team’s name must be placed in bold letters.</w:t>
      </w:r>
    </w:p>
    <w:p w14:paraId="5203D7C3" w14:textId="77777777" w:rsidR="00A726FB" w:rsidRDefault="00B26444">
      <w:pPr>
        <w:numPr>
          <w:ilvl w:val="0"/>
          <w:numId w:val="2"/>
        </w:numPr>
        <w:pBdr>
          <w:top w:val="nil"/>
          <w:left w:val="nil"/>
          <w:bottom w:val="nil"/>
          <w:right w:val="nil"/>
          <w:between w:val="nil"/>
        </w:pBdr>
        <w:spacing w:after="0"/>
      </w:pPr>
      <w:r>
        <w:rPr>
          <w:color w:val="000000"/>
        </w:rPr>
        <w:t xml:space="preserve">The names of team members should be 11-point Arial font. </w:t>
      </w:r>
    </w:p>
    <w:p w14:paraId="5203D7C4" w14:textId="77777777" w:rsidR="00A726FB" w:rsidRDefault="00B26444">
      <w:pPr>
        <w:numPr>
          <w:ilvl w:val="0"/>
          <w:numId w:val="2"/>
        </w:numPr>
        <w:pBdr>
          <w:top w:val="nil"/>
          <w:left w:val="nil"/>
          <w:bottom w:val="nil"/>
          <w:right w:val="nil"/>
          <w:between w:val="nil"/>
        </w:pBdr>
      </w:pPr>
      <w:r>
        <w:rPr>
          <w:color w:val="000000"/>
        </w:rPr>
        <w:t>Tables, table and figure captions use 10-point Times New Roman font.</w:t>
      </w:r>
    </w:p>
    <w:p w14:paraId="5203D7C5" w14:textId="77777777" w:rsidR="00A726FB" w:rsidRDefault="00B26444">
      <w:pPr>
        <w:pStyle w:val="Heading2"/>
        <w:numPr>
          <w:ilvl w:val="1"/>
          <w:numId w:val="1"/>
        </w:numPr>
      </w:pPr>
      <w:r>
        <w:t>Page size and margins</w:t>
      </w:r>
    </w:p>
    <w:p w14:paraId="5203D7C6" w14:textId="77777777" w:rsidR="00A726FB" w:rsidRDefault="00B26444">
      <w:r>
        <w:t xml:space="preserve">The supplied MS Word template has been formatted per this document. If you are not using MS Word, please select “letter” paper size (215.9 mm by 279.4 mm or 8 1⁄2 inch by 11 inch) and portrait orientation – </w:t>
      </w:r>
      <w:r>
        <w:rPr>
          <w:b/>
        </w:rPr>
        <w:t>A4 format is not acceptable</w:t>
      </w:r>
      <w:r>
        <w:t>. Please set your page for the following margin dimensions: top - 25 mm, bottom - 25 mm, left - 20 mm, right - 20 mm, and gutter - 0 mm. The header and footer settings should both be set at 0 mm from the edge. In case of insertion of tables or figures requiring landscape orientation, use section breaks to introduce the landscape orientation between the pages oriented in portrait orientation.</w:t>
      </w:r>
    </w:p>
    <w:p w14:paraId="5203D7C7" w14:textId="77777777" w:rsidR="00A726FB" w:rsidRDefault="00B26444">
      <w:pPr>
        <w:pStyle w:val="Heading2"/>
        <w:numPr>
          <w:ilvl w:val="1"/>
          <w:numId w:val="1"/>
        </w:numPr>
      </w:pPr>
      <w:r>
        <w:t>Page numbers</w:t>
      </w:r>
    </w:p>
    <w:p w14:paraId="5203D7C8" w14:textId="77777777" w:rsidR="00A726FB" w:rsidRDefault="00B26444">
      <w:r>
        <w:t>Please insert page numbers at the bottom of the page with right alignment as shown in this template.</w:t>
      </w:r>
    </w:p>
    <w:p w14:paraId="5203D7C9" w14:textId="77777777" w:rsidR="00A726FB" w:rsidRDefault="00B26444">
      <w:pPr>
        <w:pStyle w:val="Heading2"/>
        <w:numPr>
          <w:ilvl w:val="1"/>
          <w:numId w:val="1"/>
        </w:numPr>
      </w:pPr>
      <w:r>
        <w:t>Spacing and Indenting</w:t>
      </w:r>
    </w:p>
    <w:p w14:paraId="5203D7CA" w14:textId="77777777" w:rsidR="00A726FB" w:rsidRDefault="00B26444">
      <w:r>
        <w:t>All text elements should be single-spaced. Text should be in one (1) column format. If there is a discrepancy between the template and these instructions, the instructions take precedence.</w:t>
      </w:r>
    </w:p>
    <w:p w14:paraId="5203D7CB" w14:textId="77777777" w:rsidR="00A726FB" w:rsidRDefault="00B26444">
      <w:pPr>
        <w:pStyle w:val="Heading2"/>
        <w:numPr>
          <w:ilvl w:val="1"/>
          <w:numId w:val="1"/>
        </w:numPr>
      </w:pPr>
      <w:r>
        <w:lastRenderedPageBreak/>
        <w:t>Number headings</w:t>
      </w:r>
    </w:p>
    <w:p w14:paraId="5203D7CC" w14:textId="77777777" w:rsidR="00A726FB" w:rsidRDefault="00B26444">
      <w:r>
        <w:t>All sections and sub-sections must be numbered in Arabic numerals. Within the paper, number all headings as follows:</w:t>
      </w:r>
    </w:p>
    <w:p w14:paraId="5203D7CD" w14:textId="77777777" w:rsidR="00A726FB" w:rsidRDefault="00B26444">
      <w:pPr>
        <w:spacing w:after="0"/>
        <w:ind w:left="450" w:hanging="450"/>
      </w:pPr>
      <w:r>
        <w:t>1</w:t>
      </w:r>
      <w:r>
        <w:tab/>
        <w:t>PRIMARY HEADING</w:t>
      </w:r>
    </w:p>
    <w:p w14:paraId="5203D7CE" w14:textId="77777777" w:rsidR="00A726FB" w:rsidRDefault="00B26444">
      <w:pPr>
        <w:spacing w:after="0"/>
        <w:ind w:left="450" w:hanging="450"/>
      </w:pPr>
      <w:r>
        <w:t xml:space="preserve">1.1 </w:t>
      </w:r>
      <w:r>
        <w:tab/>
        <w:t>Secondary heading</w:t>
      </w:r>
    </w:p>
    <w:p w14:paraId="5203D7CF" w14:textId="77777777" w:rsidR="00A726FB" w:rsidRDefault="00B26444">
      <w:pPr>
        <w:spacing w:after="0"/>
        <w:rPr>
          <w:i/>
        </w:rPr>
      </w:pPr>
      <w:r>
        <w:rPr>
          <w:i/>
        </w:rPr>
        <w:t>1.1.1 Tertiary heading</w:t>
      </w:r>
    </w:p>
    <w:p w14:paraId="5203D7D0" w14:textId="77777777" w:rsidR="00A726FB" w:rsidRDefault="00B26444">
      <w:pPr>
        <w:pStyle w:val="Heading2"/>
        <w:numPr>
          <w:ilvl w:val="1"/>
          <w:numId w:val="1"/>
        </w:numPr>
      </w:pPr>
      <w:r>
        <w:t>Tables</w:t>
      </w:r>
    </w:p>
    <w:p w14:paraId="5203D7D1" w14:textId="77777777" w:rsidR="00A726FB" w:rsidRDefault="00B26444">
      <w:r>
        <w:t>Number tables consecutively in order of appearance and locate them close to the first reference to them in the text. Refer to tables as Table 1 or Tables 1 and 2, in the body of the text. Avoid abbreviations in column headings (other than units).</w:t>
      </w:r>
    </w:p>
    <w:p w14:paraId="5203D7D2" w14:textId="77777777" w:rsidR="00A726FB" w:rsidRDefault="00B26444">
      <w:r>
        <w:t>Type the caption above the table to the same width as the table.  Indicate units in the line immediately below the heading.</w:t>
      </w:r>
    </w:p>
    <w:p w14:paraId="5203D7D3" w14:textId="77777777" w:rsidR="00A726FB" w:rsidRDefault="00B26444">
      <w:pPr>
        <w:pBdr>
          <w:top w:val="nil"/>
          <w:left w:val="nil"/>
          <w:bottom w:val="nil"/>
          <w:right w:val="nil"/>
          <w:between w:val="nil"/>
        </w:pBdr>
        <w:jc w:val="center"/>
        <w:rPr>
          <w:color w:val="000000"/>
          <w:sz w:val="20"/>
          <w:szCs w:val="20"/>
        </w:rPr>
      </w:pPr>
      <w:r>
        <w:rPr>
          <w:color w:val="000000"/>
          <w:sz w:val="20"/>
          <w:szCs w:val="20"/>
        </w:rPr>
        <w:t>Table 1. Sample tables with values</w:t>
      </w:r>
    </w:p>
    <w:tbl>
      <w:tblPr>
        <w:tblStyle w:val="a"/>
        <w:tblW w:w="5255" w:type="dxa"/>
        <w:jc w:val="center"/>
        <w:tblBorders>
          <w:bottom w:val="single" w:sz="4" w:space="0" w:color="000000"/>
        </w:tblBorders>
        <w:tblLayout w:type="fixed"/>
        <w:tblLook w:val="0000" w:firstRow="0" w:lastRow="0" w:firstColumn="0" w:lastColumn="0" w:noHBand="0" w:noVBand="0"/>
      </w:tblPr>
      <w:tblGrid>
        <w:gridCol w:w="1751"/>
        <w:gridCol w:w="1752"/>
        <w:gridCol w:w="1752"/>
      </w:tblGrid>
      <w:tr w:rsidR="00A726FB" w14:paraId="5203D7D7" w14:textId="77777777">
        <w:trPr>
          <w:jc w:val="center"/>
        </w:trPr>
        <w:tc>
          <w:tcPr>
            <w:tcW w:w="1752" w:type="dxa"/>
            <w:tcBorders>
              <w:top w:val="single" w:sz="4" w:space="0" w:color="000000"/>
              <w:bottom w:val="single" w:sz="4" w:space="0" w:color="000000"/>
            </w:tcBorders>
          </w:tcPr>
          <w:p w14:paraId="5203D7D4" w14:textId="77777777" w:rsidR="00A726FB" w:rsidRDefault="00A726FB">
            <w:pPr>
              <w:pBdr>
                <w:top w:val="nil"/>
                <w:left w:val="nil"/>
                <w:bottom w:val="nil"/>
                <w:right w:val="nil"/>
                <w:between w:val="nil"/>
              </w:pBdr>
              <w:jc w:val="center"/>
              <w:rPr>
                <w:color w:val="000000"/>
                <w:sz w:val="20"/>
                <w:szCs w:val="20"/>
              </w:rPr>
            </w:pPr>
          </w:p>
        </w:tc>
        <w:tc>
          <w:tcPr>
            <w:tcW w:w="1752" w:type="dxa"/>
            <w:tcBorders>
              <w:top w:val="single" w:sz="4" w:space="0" w:color="000000"/>
              <w:bottom w:val="single" w:sz="4" w:space="0" w:color="000000"/>
            </w:tcBorders>
          </w:tcPr>
          <w:p w14:paraId="5203D7D5" w14:textId="77777777" w:rsidR="00A726FB" w:rsidRDefault="00B26444">
            <w:pPr>
              <w:pBdr>
                <w:top w:val="nil"/>
                <w:left w:val="nil"/>
                <w:bottom w:val="nil"/>
                <w:right w:val="nil"/>
                <w:between w:val="nil"/>
              </w:pBdr>
              <w:jc w:val="center"/>
              <w:rPr>
                <w:color w:val="000000"/>
                <w:sz w:val="20"/>
                <w:szCs w:val="20"/>
              </w:rPr>
            </w:pPr>
            <w:r>
              <w:rPr>
                <w:color w:val="000000"/>
                <w:sz w:val="20"/>
                <w:szCs w:val="20"/>
              </w:rPr>
              <w:t>1</w:t>
            </w:r>
          </w:p>
        </w:tc>
        <w:tc>
          <w:tcPr>
            <w:tcW w:w="1752" w:type="dxa"/>
            <w:tcBorders>
              <w:top w:val="single" w:sz="4" w:space="0" w:color="000000"/>
              <w:bottom w:val="single" w:sz="4" w:space="0" w:color="000000"/>
            </w:tcBorders>
          </w:tcPr>
          <w:p w14:paraId="5203D7D6" w14:textId="77777777" w:rsidR="00A726FB" w:rsidRDefault="00B26444">
            <w:pPr>
              <w:pBdr>
                <w:top w:val="nil"/>
                <w:left w:val="nil"/>
                <w:bottom w:val="nil"/>
                <w:right w:val="nil"/>
                <w:between w:val="nil"/>
              </w:pBdr>
              <w:jc w:val="center"/>
              <w:rPr>
                <w:color w:val="000000"/>
                <w:sz w:val="20"/>
                <w:szCs w:val="20"/>
              </w:rPr>
            </w:pPr>
            <w:r>
              <w:rPr>
                <w:color w:val="000000"/>
                <w:sz w:val="20"/>
                <w:szCs w:val="20"/>
              </w:rPr>
              <w:t>2</w:t>
            </w:r>
          </w:p>
        </w:tc>
      </w:tr>
      <w:tr w:rsidR="00A726FB" w14:paraId="5203D7DB" w14:textId="77777777">
        <w:trPr>
          <w:jc w:val="center"/>
        </w:trPr>
        <w:tc>
          <w:tcPr>
            <w:tcW w:w="1752" w:type="dxa"/>
            <w:tcBorders>
              <w:top w:val="single" w:sz="4" w:space="0" w:color="000000"/>
            </w:tcBorders>
          </w:tcPr>
          <w:p w14:paraId="5203D7D8" w14:textId="77777777" w:rsidR="00A726FB" w:rsidRDefault="00B26444">
            <w:pPr>
              <w:pBdr>
                <w:top w:val="nil"/>
                <w:left w:val="nil"/>
                <w:bottom w:val="nil"/>
                <w:right w:val="nil"/>
                <w:between w:val="nil"/>
              </w:pBdr>
              <w:jc w:val="center"/>
              <w:rPr>
                <w:color w:val="000000"/>
                <w:sz w:val="20"/>
                <w:szCs w:val="20"/>
              </w:rPr>
            </w:pPr>
            <w:r>
              <w:rPr>
                <w:color w:val="000000"/>
                <w:sz w:val="20"/>
                <w:szCs w:val="20"/>
              </w:rPr>
              <w:t>3</w:t>
            </w:r>
          </w:p>
        </w:tc>
        <w:tc>
          <w:tcPr>
            <w:tcW w:w="1752" w:type="dxa"/>
            <w:tcBorders>
              <w:top w:val="single" w:sz="4" w:space="0" w:color="000000"/>
            </w:tcBorders>
          </w:tcPr>
          <w:p w14:paraId="5203D7D9" w14:textId="77777777" w:rsidR="00A726FB" w:rsidRDefault="00B26444">
            <w:pPr>
              <w:pBdr>
                <w:top w:val="nil"/>
                <w:left w:val="nil"/>
                <w:bottom w:val="nil"/>
                <w:right w:val="nil"/>
                <w:between w:val="nil"/>
              </w:pBdr>
              <w:jc w:val="center"/>
              <w:rPr>
                <w:color w:val="000000"/>
                <w:sz w:val="20"/>
                <w:szCs w:val="20"/>
                <w:vertAlign w:val="superscript"/>
              </w:rPr>
            </w:pPr>
            <w:r>
              <w:rPr>
                <w:color w:val="000000"/>
                <w:sz w:val="20"/>
                <w:szCs w:val="20"/>
              </w:rPr>
              <w:t>57</w:t>
            </w:r>
            <w:r>
              <w:rPr>
                <w:color w:val="000000"/>
                <w:sz w:val="20"/>
                <w:szCs w:val="20"/>
                <w:vertAlign w:val="superscript"/>
              </w:rPr>
              <w:t>1</w:t>
            </w:r>
          </w:p>
        </w:tc>
        <w:tc>
          <w:tcPr>
            <w:tcW w:w="1752" w:type="dxa"/>
            <w:tcBorders>
              <w:top w:val="single" w:sz="4" w:space="0" w:color="000000"/>
            </w:tcBorders>
          </w:tcPr>
          <w:p w14:paraId="5203D7DA" w14:textId="77777777" w:rsidR="00A726FB" w:rsidRDefault="00B26444">
            <w:pPr>
              <w:pBdr>
                <w:top w:val="nil"/>
                <w:left w:val="nil"/>
                <w:bottom w:val="nil"/>
                <w:right w:val="nil"/>
                <w:between w:val="nil"/>
              </w:pBdr>
              <w:jc w:val="center"/>
              <w:rPr>
                <w:color w:val="000000"/>
                <w:sz w:val="20"/>
                <w:szCs w:val="20"/>
              </w:rPr>
            </w:pPr>
            <w:r>
              <w:rPr>
                <w:color w:val="000000"/>
                <w:sz w:val="20"/>
                <w:szCs w:val="20"/>
              </w:rPr>
              <w:t>86</w:t>
            </w:r>
          </w:p>
        </w:tc>
      </w:tr>
      <w:tr w:rsidR="00A726FB" w14:paraId="5203D7DF" w14:textId="77777777">
        <w:trPr>
          <w:jc w:val="center"/>
        </w:trPr>
        <w:tc>
          <w:tcPr>
            <w:tcW w:w="1752" w:type="dxa"/>
          </w:tcPr>
          <w:p w14:paraId="5203D7DC" w14:textId="77777777" w:rsidR="00A726FB" w:rsidRDefault="00B26444">
            <w:pPr>
              <w:pBdr>
                <w:top w:val="nil"/>
                <w:left w:val="nil"/>
                <w:bottom w:val="nil"/>
                <w:right w:val="nil"/>
                <w:between w:val="nil"/>
              </w:pBdr>
              <w:jc w:val="center"/>
              <w:rPr>
                <w:color w:val="000000"/>
                <w:sz w:val="20"/>
                <w:szCs w:val="20"/>
              </w:rPr>
            </w:pPr>
            <w:r>
              <w:rPr>
                <w:color w:val="000000"/>
                <w:sz w:val="20"/>
                <w:szCs w:val="20"/>
              </w:rPr>
              <w:t>4</w:t>
            </w:r>
          </w:p>
        </w:tc>
        <w:tc>
          <w:tcPr>
            <w:tcW w:w="1752" w:type="dxa"/>
          </w:tcPr>
          <w:p w14:paraId="5203D7DD" w14:textId="77777777" w:rsidR="00A726FB" w:rsidRDefault="00B26444">
            <w:pPr>
              <w:pBdr>
                <w:top w:val="nil"/>
                <w:left w:val="nil"/>
                <w:bottom w:val="nil"/>
                <w:right w:val="nil"/>
                <w:between w:val="nil"/>
              </w:pBdr>
              <w:jc w:val="center"/>
              <w:rPr>
                <w:color w:val="000000"/>
                <w:sz w:val="20"/>
                <w:szCs w:val="20"/>
              </w:rPr>
            </w:pPr>
            <w:r>
              <w:rPr>
                <w:color w:val="000000"/>
                <w:sz w:val="20"/>
                <w:szCs w:val="20"/>
              </w:rPr>
              <w:t>107</w:t>
            </w:r>
          </w:p>
        </w:tc>
        <w:tc>
          <w:tcPr>
            <w:tcW w:w="1752" w:type="dxa"/>
          </w:tcPr>
          <w:p w14:paraId="5203D7DE" w14:textId="77777777" w:rsidR="00A726FB" w:rsidRDefault="00B26444">
            <w:pPr>
              <w:pBdr>
                <w:top w:val="nil"/>
                <w:left w:val="nil"/>
                <w:bottom w:val="nil"/>
                <w:right w:val="nil"/>
                <w:between w:val="nil"/>
              </w:pBdr>
              <w:jc w:val="center"/>
              <w:rPr>
                <w:color w:val="000000"/>
                <w:sz w:val="20"/>
                <w:szCs w:val="20"/>
              </w:rPr>
            </w:pPr>
            <w:r>
              <w:rPr>
                <w:color w:val="000000"/>
                <w:sz w:val="20"/>
                <w:szCs w:val="20"/>
              </w:rPr>
              <w:t>100</w:t>
            </w:r>
          </w:p>
        </w:tc>
      </w:tr>
      <w:tr w:rsidR="00A726FB" w14:paraId="5203D7E3" w14:textId="77777777">
        <w:trPr>
          <w:jc w:val="center"/>
        </w:trPr>
        <w:tc>
          <w:tcPr>
            <w:tcW w:w="1752" w:type="dxa"/>
          </w:tcPr>
          <w:p w14:paraId="5203D7E0" w14:textId="77777777" w:rsidR="00A726FB" w:rsidRDefault="00B26444">
            <w:pPr>
              <w:pBdr>
                <w:top w:val="nil"/>
                <w:left w:val="nil"/>
                <w:bottom w:val="nil"/>
                <w:right w:val="nil"/>
                <w:between w:val="nil"/>
              </w:pBdr>
              <w:jc w:val="center"/>
              <w:rPr>
                <w:color w:val="000000"/>
                <w:sz w:val="20"/>
                <w:szCs w:val="20"/>
              </w:rPr>
            </w:pPr>
            <w:r>
              <w:rPr>
                <w:color w:val="000000"/>
                <w:sz w:val="20"/>
                <w:szCs w:val="20"/>
              </w:rPr>
              <w:t>5</w:t>
            </w:r>
          </w:p>
        </w:tc>
        <w:tc>
          <w:tcPr>
            <w:tcW w:w="1752" w:type="dxa"/>
          </w:tcPr>
          <w:p w14:paraId="5203D7E1" w14:textId="77777777" w:rsidR="00A726FB" w:rsidRDefault="00B26444">
            <w:pPr>
              <w:pBdr>
                <w:top w:val="nil"/>
                <w:left w:val="nil"/>
                <w:bottom w:val="nil"/>
                <w:right w:val="nil"/>
                <w:between w:val="nil"/>
              </w:pBdr>
              <w:jc w:val="center"/>
              <w:rPr>
                <w:color w:val="000000"/>
                <w:sz w:val="20"/>
                <w:szCs w:val="20"/>
              </w:rPr>
            </w:pPr>
            <w:r>
              <w:rPr>
                <w:color w:val="000000"/>
                <w:sz w:val="20"/>
                <w:szCs w:val="20"/>
              </w:rPr>
              <w:t>113</w:t>
            </w:r>
          </w:p>
        </w:tc>
        <w:tc>
          <w:tcPr>
            <w:tcW w:w="1752" w:type="dxa"/>
          </w:tcPr>
          <w:p w14:paraId="5203D7E2" w14:textId="77777777" w:rsidR="00A726FB" w:rsidRDefault="00B26444">
            <w:pPr>
              <w:pBdr>
                <w:top w:val="nil"/>
                <w:left w:val="nil"/>
                <w:bottom w:val="nil"/>
                <w:right w:val="nil"/>
                <w:between w:val="nil"/>
              </w:pBdr>
              <w:jc w:val="center"/>
              <w:rPr>
                <w:color w:val="000000"/>
                <w:sz w:val="20"/>
                <w:szCs w:val="20"/>
              </w:rPr>
            </w:pPr>
            <w:r>
              <w:rPr>
                <w:color w:val="000000"/>
                <w:sz w:val="20"/>
                <w:szCs w:val="20"/>
              </w:rPr>
              <w:t>125</w:t>
            </w:r>
          </w:p>
        </w:tc>
      </w:tr>
      <w:tr w:rsidR="00A726FB" w14:paraId="5203D7E7" w14:textId="77777777">
        <w:trPr>
          <w:jc w:val="center"/>
        </w:trPr>
        <w:tc>
          <w:tcPr>
            <w:tcW w:w="1752" w:type="dxa"/>
          </w:tcPr>
          <w:p w14:paraId="5203D7E4" w14:textId="77777777" w:rsidR="00A726FB" w:rsidRDefault="00B26444">
            <w:pPr>
              <w:pBdr>
                <w:top w:val="nil"/>
                <w:left w:val="nil"/>
                <w:bottom w:val="nil"/>
                <w:right w:val="nil"/>
                <w:between w:val="nil"/>
              </w:pBdr>
              <w:jc w:val="center"/>
              <w:rPr>
                <w:color w:val="000000"/>
                <w:sz w:val="20"/>
                <w:szCs w:val="20"/>
              </w:rPr>
            </w:pPr>
            <w:r>
              <w:rPr>
                <w:color w:val="000000"/>
                <w:sz w:val="20"/>
                <w:szCs w:val="20"/>
              </w:rPr>
              <w:t>6</w:t>
            </w:r>
          </w:p>
        </w:tc>
        <w:tc>
          <w:tcPr>
            <w:tcW w:w="1752" w:type="dxa"/>
          </w:tcPr>
          <w:p w14:paraId="5203D7E5" w14:textId="77777777" w:rsidR="00A726FB" w:rsidRDefault="00B26444">
            <w:pPr>
              <w:pBdr>
                <w:top w:val="nil"/>
                <w:left w:val="nil"/>
                <w:bottom w:val="nil"/>
                <w:right w:val="nil"/>
                <w:between w:val="nil"/>
              </w:pBdr>
              <w:jc w:val="center"/>
              <w:rPr>
                <w:color w:val="000000"/>
                <w:sz w:val="20"/>
                <w:szCs w:val="20"/>
              </w:rPr>
            </w:pPr>
            <w:r>
              <w:rPr>
                <w:color w:val="000000"/>
                <w:sz w:val="20"/>
                <w:szCs w:val="20"/>
              </w:rPr>
              <w:t>161</w:t>
            </w:r>
          </w:p>
        </w:tc>
        <w:tc>
          <w:tcPr>
            <w:tcW w:w="1752" w:type="dxa"/>
          </w:tcPr>
          <w:p w14:paraId="5203D7E6" w14:textId="77777777" w:rsidR="00A726FB" w:rsidRDefault="00B26444">
            <w:pPr>
              <w:pBdr>
                <w:top w:val="nil"/>
                <w:left w:val="nil"/>
                <w:bottom w:val="nil"/>
                <w:right w:val="nil"/>
                <w:between w:val="nil"/>
              </w:pBdr>
              <w:jc w:val="center"/>
              <w:rPr>
                <w:color w:val="000000"/>
                <w:sz w:val="20"/>
                <w:szCs w:val="20"/>
              </w:rPr>
            </w:pPr>
            <w:r>
              <w:rPr>
                <w:color w:val="000000"/>
                <w:sz w:val="20"/>
                <w:szCs w:val="20"/>
              </w:rPr>
              <w:t>176</w:t>
            </w:r>
          </w:p>
        </w:tc>
      </w:tr>
    </w:tbl>
    <w:p w14:paraId="5203D7E8" w14:textId="77777777" w:rsidR="00A726FB" w:rsidRDefault="00B26444">
      <w:pPr>
        <w:pBdr>
          <w:top w:val="nil"/>
          <w:left w:val="nil"/>
          <w:bottom w:val="nil"/>
          <w:right w:val="nil"/>
          <w:between w:val="nil"/>
        </w:pBdr>
        <w:jc w:val="center"/>
        <w:rPr>
          <w:color w:val="000000"/>
          <w:sz w:val="18"/>
          <w:szCs w:val="18"/>
        </w:rPr>
      </w:pPr>
      <w:r>
        <w:rPr>
          <w:color w:val="000000"/>
          <w:sz w:val="18"/>
          <w:szCs w:val="18"/>
          <w:vertAlign w:val="superscript"/>
        </w:rPr>
        <w:t>1</w:t>
      </w:r>
      <w:r>
        <w:rPr>
          <w:sz w:val="18"/>
          <w:szCs w:val="18"/>
        </w:rPr>
        <w:t>insert your footnote here</w:t>
      </w:r>
    </w:p>
    <w:p w14:paraId="5203D7E9" w14:textId="77777777" w:rsidR="00A726FB" w:rsidRDefault="00B26444">
      <w:pPr>
        <w:pStyle w:val="Heading2"/>
        <w:numPr>
          <w:ilvl w:val="1"/>
          <w:numId w:val="1"/>
        </w:numPr>
      </w:pPr>
      <w:r>
        <w:t>Equations, formulas, symbols and units</w:t>
      </w:r>
    </w:p>
    <w:p w14:paraId="5203D7EA" w14:textId="77777777" w:rsidR="00A726FB" w:rsidRDefault="00B26444">
      <w:r>
        <w:t xml:space="preserve">Type equations and formulas from the left of the column (do not centre in the column) and number them consecutively. Equation numbers should be placed flush at the right column margin in parentheses. Refer to equations in the body of the text by these numbers (e.g., "Eq. 1" or "Equation 1 shows..."). </w:t>
      </w:r>
    </w:p>
    <w:p w14:paraId="5203D7EB" w14:textId="77777777" w:rsidR="00A726FB" w:rsidRDefault="00B26444">
      <w:r>
        <w:t>Symbols should conform to the standard recommendations. In case of introduction or usage of symbols representing a different context, it should be stated in the report.</w:t>
      </w:r>
    </w:p>
    <w:p w14:paraId="5203D7EC" w14:textId="77777777" w:rsidR="00A726FB" w:rsidRDefault="00B26444">
      <w:r>
        <w:t>Example of equation:</w:t>
      </w:r>
    </w:p>
    <w:p w14:paraId="5203D7ED" w14:textId="77777777" w:rsidR="00A726FB" w:rsidRDefault="00B26444">
      <w:pPr>
        <w:rPr>
          <w:rFonts w:ascii="Noto Sans Symbols" w:eastAsia="Noto Sans Symbols" w:hAnsi="Noto Sans Symbols" w:cs="Noto Sans Symbols"/>
        </w:rPr>
      </w:pPr>
      <w:r>
        <w:rPr>
          <w:rFonts w:ascii="Noto Sans Symbols" w:eastAsia="Noto Sans Symbols" w:hAnsi="Noto Sans Symbols" w:cs="Noto Sans Symbols"/>
        </w:rPr>
        <w:t>τ</w:t>
      </w:r>
      <w:r>
        <w:t xml:space="preserve"> = </w:t>
      </w:r>
      <w:r>
        <w:rPr>
          <w:rFonts w:ascii="Noto Sans Symbols" w:eastAsia="Noto Sans Symbols" w:hAnsi="Noto Sans Symbols" w:cs="Noto Sans Symbols"/>
        </w:rPr>
        <w:t xml:space="preserve">σ </w:t>
      </w:r>
      <w:r>
        <w:t xml:space="preserve">tan </w:t>
      </w:r>
      <w:r>
        <w:rPr>
          <w:rFonts w:ascii="Noto Sans Symbols" w:eastAsia="Noto Sans Symbols" w:hAnsi="Noto Sans Symbols" w:cs="Noto Sans Symbols"/>
        </w:rPr>
        <w:t xml:space="preserve">φ + </w:t>
      </w:r>
      <w:r>
        <w:t>c</w:t>
      </w:r>
      <w:r>
        <w:tab/>
      </w:r>
      <w:r>
        <w:tab/>
      </w:r>
      <w:r>
        <w:tab/>
      </w:r>
      <w:r>
        <w:tab/>
      </w:r>
      <w:r>
        <w:tab/>
        <w:t xml:space="preserve">  </w:t>
      </w:r>
      <w:r>
        <w:tab/>
      </w:r>
      <w:r>
        <w:tab/>
      </w:r>
      <w:r>
        <w:tab/>
      </w:r>
      <w:r>
        <w:tab/>
      </w:r>
      <w:r>
        <w:tab/>
      </w:r>
      <w:r>
        <w:tab/>
      </w:r>
      <w:r>
        <w:tab/>
        <w:t xml:space="preserve">      (1)</w:t>
      </w:r>
    </w:p>
    <w:p w14:paraId="5203D7EE" w14:textId="77777777" w:rsidR="00A726FB" w:rsidRDefault="00B26444">
      <w:pPr>
        <w:pStyle w:val="Heading2"/>
        <w:numPr>
          <w:ilvl w:val="1"/>
          <w:numId w:val="1"/>
        </w:numPr>
      </w:pPr>
      <w:r>
        <w:t>Illustrations/figures</w:t>
      </w:r>
    </w:p>
    <w:p w14:paraId="5203D7EF" w14:textId="77777777" w:rsidR="00A726FB" w:rsidRDefault="00B26444">
      <w:r>
        <w:t>All illustrations must be embedded in the document. Please resize the inserted object to the desired final dimensions before inserting in the document in order to minimize the file size of the final document. Please number illustrations (whether drawings or photographs) consecutively in the order of appearance and refer to them as Fig. 1, Fig. 2 to 4, etc. Lettering should be approximately the same size as the text with a minimum of 2 mm. Lines should preferably be 0.2 mm thick. Captions should be placed im</w:t>
      </w:r>
      <w:r>
        <w:t>mediately below the illustration.</w:t>
      </w:r>
    </w:p>
    <w:p w14:paraId="5203D7F0" w14:textId="77777777" w:rsidR="00A726FB" w:rsidRDefault="00A726FB"/>
    <w:p w14:paraId="5203D7F1" w14:textId="77777777" w:rsidR="00A726FB" w:rsidRDefault="00B26444">
      <w:pPr>
        <w:pBdr>
          <w:top w:val="nil"/>
          <w:left w:val="nil"/>
          <w:bottom w:val="nil"/>
          <w:right w:val="nil"/>
          <w:between w:val="nil"/>
        </w:pBdr>
        <w:jc w:val="center"/>
        <w:rPr>
          <w:color w:val="000000"/>
        </w:rPr>
      </w:pPr>
      <w:r>
        <w:rPr>
          <w:noProof/>
          <w:color w:val="000000"/>
        </w:rPr>
        <w:lastRenderedPageBreak/>
        <w:drawing>
          <wp:inline distT="0" distB="0" distL="0" distR="0" wp14:anchorId="5203D7FF" wp14:editId="5203D800">
            <wp:extent cx="3200400" cy="2108835"/>
            <wp:effectExtent l="0" t="0" r="0" b="0"/>
            <wp:docPr id="5223900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3200400" cy="2108835"/>
                    </a:xfrm>
                    <a:prstGeom prst="rect">
                      <a:avLst/>
                    </a:prstGeom>
                    <a:ln/>
                  </pic:spPr>
                </pic:pic>
              </a:graphicData>
            </a:graphic>
          </wp:inline>
        </w:drawing>
      </w:r>
    </w:p>
    <w:p w14:paraId="5203D7F2" w14:textId="77777777" w:rsidR="00A726FB" w:rsidRDefault="00B26444">
      <w:pPr>
        <w:pBdr>
          <w:top w:val="nil"/>
          <w:left w:val="nil"/>
          <w:bottom w:val="nil"/>
          <w:right w:val="nil"/>
          <w:between w:val="nil"/>
        </w:pBdr>
        <w:jc w:val="center"/>
        <w:rPr>
          <w:color w:val="000000"/>
          <w:sz w:val="20"/>
          <w:szCs w:val="20"/>
        </w:rPr>
      </w:pPr>
      <w:r>
        <w:rPr>
          <w:color w:val="000000"/>
          <w:sz w:val="20"/>
          <w:szCs w:val="20"/>
        </w:rPr>
        <w:t>Fig. 1. Normalized pore pressure history for a pressurized cylindrical borehole, displaying the so-called Mandel-Cryer effect (</w:t>
      </w:r>
      <w:proofErr w:type="spellStart"/>
      <w:r>
        <w:rPr>
          <w:color w:val="000000"/>
          <w:sz w:val="20"/>
          <w:szCs w:val="20"/>
        </w:rPr>
        <w:t>Detournay</w:t>
      </w:r>
      <w:proofErr w:type="spellEnd"/>
      <w:r>
        <w:rPr>
          <w:color w:val="000000"/>
          <w:sz w:val="20"/>
          <w:szCs w:val="20"/>
        </w:rPr>
        <w:t xml:space="preserve"> and Cheng, 1993).</w:t>
      </w:r>
    </w:p>
    <w:p w14:paraId="5203D7F3" w14:textId="77777777" w:rsidR="00A726FB" w:rsidRDefault="00B26444">
      <w:pPr>
        <w:pStyle w:val="Heading1"/>
        <w:numPr>
          <w:ilvl w:val="0"/>
          <w:numId w:val="1"/>
        </w:numPr>
      </w:pPr>
      <w:r>
        <w:t>references</w:t>
      </w:r>
    </w:p>
    <w:p w14:paraId="5203D7F4" w14:textId="77777777" w:rsidR="00A726FB" w:rsidRDefault="00B26444">
      <w:r>
        <w:t xml:space="preserve">Citation should follow the style of Author-year with the bibliography formatted according to the style of APA (American Psychological Association). Below a few examples of how journal articles, a book, a chapter in a book and a published paper in proceedings, e.g., Hoek and </w:t>
      </w:r>
      <w:proofErr w:type="spellStart"/>
      <w:r>
        <w:t>Bieniawski</w:t>
      </w:r>
      <w:proofErr w:type="spellEnd"/>
      <w:r>
        <w:t xml:space="preserve"> (1965), </w:t>
      </w:r>
      <w:proofErr w:type="spellStart"/>
      <w:r>
        <w:t>Haimson</w:t>
      </w:r>
      <w:proofErr w:type="spellEnd"/>
      <w:r>
        <w:t xml:space="preserve"> and Fairhurst (1967), </w:t>
      </w:r>
      <w:proofErr w:type="spellStart"/>
      <w:r>
        <w:t>Detournay</w:t>
      </w:r>
      <w:proofErr w:type="spellEnd"/>
      <w:r>
        <w:t xml:space="preserve"> and Cheng (1993), Crouch and Starfield (1983), Zoback et al. (1989), Hazzard et al. (2000), Ciardo and </w:t>
      </w:r>
      <w:proofErr w:type="spellStart"/>
      <w:r>
        <w:t>Lecampion</w:t>
      </w:r>
      <w:proofErr w:type="spellEnd"/>
      <w:r>
        <w:t xml:space="preserve"> (2021), and </w:t>
      </w:r>
      <w:proofErr w:type="spellStart"/>
      <w:r>
        <w:t>Madyarov</w:t>
      </w:r>
      <w:proofErr w:type="spellEnd"/>
      <w:r>
        <w:t xml:space="preserve"> et al. (2021), are formatted in the references.</w:t>
      </w:r>
    </w:p>
    <w:p w14:paraId="5203D7F5" w14:textId="77777777" w:rsidR="00A726FB" w:rsidRDefault="00B26444">
      <w:r>
        <w:t>In the list of references, the citations are listed in alphabetical order. References must be in 10 pt. Times New Roman. APA 7th Edition is recommended if you choose to use the build-in style in EndNote or other citation management tool for MS Word.</w:t>
      </w:r>
    </w:p>
    <w:p w14:paraId="5203D7F6" w14:textId="5394F5D9" w:rsidR="00A726FB" w:rsidRDefault="00B26444">
      <w:pPr>
        <w:numPr>
          <w:ilvl w:val="0"/>
          <w:numId w:val="3"/>
        </w:numPr>
        <w:pBdr>
          <w:top w:val="nil"/>
          <w:left w:val="nil"/>
          <w:bottom w:val="nil"/>
          <w:right w:val="nil"/>
          <w:between w:val="nil"/>
        </w:pBdr>
        <w:spacing w:after="0" w:line="240" w:lineRule="auto"/>
      </w:pPr>
      <w:r>
        <w:rPr>
          <w:color w:val="000000"/>
          <w:sz w:val="20"/>
          <w:szCs w:val="20"/>
        </w:rPr>
        <w:t xml:space="preserve">Ciardo, F. and </w:t>
      </w:r>
      <w:proofErr w:type="spellStart"/>
      <w:r>
        <w:rPr>
          <w:color w:val="000000"/>
          <w:sz w:val="20"/>
          <w:szCs w:val="20"/>
        </w:rPr>
        <w:t>Lecampion</w:t>
      </w:r>
      <w:proofErr w:type="spellEnd"/>
      <w:r>
        <w:rPr>
          <w:color w:val="000000"/>
          <w:sz w:val="20"/>
          <w:szCs w:val="20"/>
        </w:rPr>
        <w:t>, B. (2021). Aseismic slip propagation in fractured rock masses driven by pore-fl</w:t>
      </w:r>
      <w:r>
        <w:rPr>
          <w:color w:val="000000"/>
          <w:sz w:val="20"/>
          <w:szCs w:val="20"/>
        </w:rPr>
        <w:t>uid diff</w:t>
      </w:r>
      <w:r>
        <w:rPr>
          <w:color w:val="000000"/>
          <w:sz w:val="20"/>
          <w:szCs w:val="20"/>
        </w:rPr>
        <w:t xml:space="preserve">usion. In </w:t>
      </w:r>
      <w:r>
        <w:rPr>
          <w:i/>
          <w:color w:val="000000"/>
          <w:sz w:val="20"/>
          <w:szCs w:val="20"/>
        </w:rPr>
        <w:t>Proc. 55th US Rock Mechanics/Geomechanics Symposium</w:t>
      </w:r>
      <w:r>
        <w:rPr>
          <w:color w:val="000000"/>
          <w:sz w:val="20"/>
          <w:szCs w:val="20"/>
        </w:rPr>
        <w:t>, Houston, TX. American Rock Mechanics Association.</w:t>
      </w:r>
    </w:p>
    <w:p w14:paraId="5203D7F7" w14:textId="77777777" w:rsidR="00A726FB" w:rsidRDefault="00B26444">
      <w:pPr>
        <w:numPr>
          <w:ilvl w:val="0"/>
          <w:numId w:val="3"/>
        </w:numPr>
        <w:pBdr>
          <w:top w:val="nil"/>
          <w:left w:val="nil"/>
          <w:bottom w:val="nil"/>
          <w:right w:val="nil"/>
          <w:between w:val="nil"/>
        </w:pBdr>
        <w:spacing w:after="0" w:line="240" w:lineRule="auto"/>
      </w:pPr>
      <w:r>
        <w:rPr>
          <w:color w:val="000000"/>
          <w:sz w:val="20"/>
          <w:szCs w:val="20"/>
        </w:rPr>
        <w:t xml:space="preserve">Crouch, S. L. and Starfield, A. M. (1983). </w:t>
      </w:r>
      <w:r>
        <w:rPr>
          <w:i/>
          <w:color w:val="000000"/>
          <w:sz w:val="20"/>
          <w:szCs w:val="20"/>
        </w:rPr>
        <w:t>Boundary element methods in solid mechanics</w:t>
      </w:r>
      <w:r>
        <w:rPr>
          <w:color w:val="000000"/>
          <w:sz w:val="20"/>
          <w:szCs w:val="20"/>
        </w:rPr>
        <w:t>. George Allen &amp; Unwin, London, 1st edition.</w:t>
      </w:r>
    </w:p>
    <w:p w14:paraId="5203D7F8" w14:textId="1C0348CB" w:rsidR="00A726FB" w:rsidRDefault="00B26444">
      <w:pPr>
        <w:numPr>
          <w:ilvl w:val="0"/>
          <w:numId w:val="3"/>
        </w:numPr>
        <w:pBdr>
          <w:top w:val="nil"/>
          <w:left w:val="nil"/>
          <w:bottom w:val="nil"/>
          <w:right w:val="nil"/>
          <w:between w:val="nil"/>
        </w:pBdr>
        <w:spacing w:after="0" w:line="240" w:lineRule="auto"/>
      </w:pPr>
      <w:proofErr w:type="spellStart"/>
      <w:r>
        <w:rPr>
          <w:color w:val="000000"/>
          <w:sz w:val="20"/>
          <w:szCs w:val="20"/>
        </w:rPr>
        <w:t>Detournay</w:t>
      </w:r>
      <w:proofErr w:type="spellEnd"/>
      <w:r>
        <w:rPr>
          <w:color w:val="000000"/>
          <w:sz w:val="20"/>
          <w:szCs w:val="20"/>
        </w:rPr>
        <w:t xml:space="preserve">, E. and Cheng, A. H.-D. (1993). Fundamentals of </w:t>
      </w:r>
      <w:proofErr w:type="spellStart"/>
      <w:r>
        <w:rPr>
          <w:color w:val="000000"/>
          <w:sz w:val="20"/>
          <w:szCs w:val="20"/>
        </w:rPr>
        <w:t>poro</w:t>
      </w:r>
      <w:proofErr w:type="spellEnd"/>
      <w:r>
        <w:rPr>
          <w:color w:val="000000"/>
          <w:sz w:val="20"/>
          <w:szCs w:val="20"/>
        </w:rPr>
        <w:t>-</w:t>
      </w:r>
      <w:r>
        <w:rPr>
          <w:color w:val="000000"/>
          <w:sz w:val="20"/>
          <w:szCs w:val="20"/>
        </w:rPr>
        <w:t xml:space="preserve">elasticity. In Fairhurst, C., editor, </w:t>
      </w:r>
      <w:r>
        <w:rPr>
          <w:i/>
          <w:color w:val="000000"/>
          <w:sz w:val="20"/>
          <w:szCs w:val="20"/>
        </w:rPr>
        <w:t>Comprehensive Rock Engineering</w:t>
      </w:r>
      <w:r>
        <w:rPr>
          <w:color w:val="000000"/>
          <w:sz w:val="20"/>
          <w:szCs w:val="20"/>
        </w:rPr>
        <w:t>, volume 2, pages 113–171. Pergamon, New York.</w:t>
      </w:r>
    </w:p>
    <w:p w14:paraId="5203D7F9" w14:textId="77777777" w:rsidR="00A726FB" w:rsidRDefault="00B26444">
      <w:pPr>
        <w:numPr>
          <w:ilvl w:val="0"/>
          <w:numId w:val="3"/>
        </w:numPr>
        <w:pBdr>
          <w:top w:val="nil"/>
          <w:left w:val="nil"/>
          <w:bottom w:val="nil"/>
          <w:right w:val="nil"/>
          <w:between w:val="nil"/>
        </w:pBdr>
        <w:spacing w:after="0" w:line="240" w:lineRule="auto"/>
      </w:pPr>
      <w:proofErr w:type="spellStart"/>
      <w:r>
        <w:rPr>
          <w:color w:val="000000"/>
          <w:sz w:val="20"/>
          <w:szCs w:val="20"/>
        </w:rPr>
        <w:t>Haimson</w:t>
      </w:r>
      <w:proofErr w:type="spellEnd"/>
      <w:r>
        <w:rPr>
          <w:color w:val="000000"/>
          <w:sz w:val="20"/>
          <w:szCs w:val="20"/>
        </w:rPr>
        <w:t xml:space="preserve">, B. and Fairhurst, C. (1967). Initiation and extension of hydraulic fractures in rocks. </w:t>
      </w:r>
      <w:r>
        <w:rPr>
          <w:i/>
          <w:color w:val="000000"/>
          <w:sz w:val="20"/>
          <w:szCs w:val="20"/>
        </w:rPr>
        <w:t>SPE J</w:t>
      </w:r>
      <w:r>
        <w:rPr>
          <w:color w:val="000000"/>
          <w:sz w:val="20"/>
          <w:szCs w:val="20"/>
        </w:rPr>
        <w:t>., 7(03):310–318.</w:t>
      </w:r>
    </w:p>
    <w:p w14:paraId="5203D7FA" w14:textId="77777777" w:rsidR="00A726FB" w:rsidRDefault="00B26444">
      <w:pPr>
        <w:numPr>
          <w:ilvl w:val="0"/>
          <w:numId w:val="3"/>
        </w:numPr>
        <w:pBdr>
          <w:top w:val="nil"/>
          <w:left w:val="nil"/>
          <w:bottom w:val="nil"/>
          <w:right w:val="nil"/>
          <w:between w:val="nil"/>
        </w:pBdr>
        <w:spacing w:after="0" w:line="240" w:lineRule="auto"/>
      </w:pPr>
      <w:r>
        <w:rPr>
          <w:color w:val="000000"/>
          <w:sz w:val="20"/>
          <w:szCs w:val="20"/>
        </w:rPr>
        <w:t xml:space="preserve">Hazzard, J. F., Young, R. P., and Maxwell, S. C. (2000). Micromechanical </w:t>
      </w:r>
      <w:proofErr w:type="spellStart"/>
      <w:r>
        <w:rPr>
          <w:color w:val="000000"/>
          <w:sz w:val="20"/>
          <w:szCs w:val="20"/>
        </w:rPr>
        <w:t>modeling</w:t>
      </w:r>
      <w:proofErr w:type="spellEnd"/>
      <w:r>
        <w:rPr>
          <w:color w:val="000000"/>
          <w:sz w:val="20"/>
          <w:szCs w:val="20"/>
        </w:rPr>
        <w:t xml:space="preserve"> of cracking and failure in brittle rocks. </w:t>
      </w:r>
      <w:r>
        <w:rPr>
          <w:i/>
          <w:color w:val="000000"/>
          <w:sz w:val="20"/>
          <w:szCs w:val="20"/>
        </w:rPr>
        <w:t xml:space="preserve">J. </w:t>
      </w:r>
      <w:proofErr w:type="spellStart"/>
      <w:r>
        <w:rPr>
          <w:i/>
          <w:color w:val="000000"/>
          <w:sz w:val="20"/>
          <w:szCs w:val="20"/>
        </w:rPr>
        <w:t>Geophys</w:t>
      </w:r>
      <w:proofErr w:type="spellEnd"/>
      <w:r>
        <w:rPr>
          <w:i/>
          <w:color w:val="000000"/>
          <w:sz w:val="20"/>
          <w:szCs w:val="20"/>
        </w:rPr>
        <w:t>. Res. Solid Earth</w:t>
      </w:r>
      <w:r>
        <w:rPr>
          <w:color w:val="000000"/>
          <w:sz w:val="20"/>
          <w:szCs w:val="20"/>
        </w:rPr>
        <w:t>, 105(B7):16,683–16,697.</w:t>
      </w:r>
    </w:p>
    <w:p w14:paraId="5203D7FB" w14:textId="77777777" w:rsidR="00A726FB" w:rsidRDefault="00B26444">
      <w:pPr>
        <w:numPr>
          <w:ilvl w:val="0"/>
          <w:numId w:val="3"/>
        </w:numPr>
        <w:pBdr>
          <w:top w:val="nil"/>
          <w:left w:val="nil"/>
          <w:bottom w:val="nil"/>
          <w:right w:val="nil"/>
          <w:between w:val="nil"/>
        </w:pBdr>
        <w:spacing w:after="0" w:line="240" w:lineRule="auto"/>
      </w:pPr>
      <w:r>
        <w:rPr>
          <w:color w:val="000000"/>
          <w:sz w:val="20"/>
          <w:szCs w:val="20"/>
        </w:rPr>
        <w:t xml:space="preserve">Hoek, E. and </w:t>
      </w:r>
      <w:proofErr w:type="spellStart"/>
      <w:r>
        <w:rPr>
          <w:color w:val="000000"/>
          <w:sz w:val="20"/>
          <w:szCs w:val="20"/>
        </w:rPr>
        <w:t>Bieniawski</w:t>
      </w:r>
      <w:proofErr w:type="spellEnd"/>
      <w:r>
        <w:rPr>
          <w:color w:val="000000"/>
          <w:sz w:val="20"/>
          <w:szCs w:val="20"/>
        </w:rPr>
        <w:t xml:space="preserve">, Z. T. (1965). Brittle fracture propagation in rock under compression. </w:t>
      </w:r>
      <w:r>
        <w:rPr>
          <w:i/>
          <w:color w:val="000000"/>
          <w:sz w:val="20"/>
          <w:szCs w:val="20"/>
        </w:rPr>
        <w:t xml:space="preserve">Int. J. </w:t>
      </w:r>
      <w:proofErr w:type="spellStart"/>
      <w:r>
        <w:rPr>
          <w:i/>
          <w:color w:val="000000"/>
          <w:sz w:val="20"/>
          <w:szCs w:val="20"/>
        </w:rPr>
        <w:t>Fract</w:t>
      </w:r>
      <w:proofErr w:type="spellEnd"/>
      <w:r>
        <w:rPr>
          <w:color w:val="000000"/>
          <w:sz w:val="20"/>
          <w:szCs w:val="20"/>
        </w:rPr>
        <w:t xml:space="preserve">. </w:t>
      </w:r>
      <w:r>
        <w:rPr>
          <w:i/>
          <w:color w:val="000000"/>
          <w:sz w:val="20"/>
          <w:szCs w:val="20"/>
        </w:rPr>
        <w:t>Mech</w:t>
      </w:r>
      <w:r>
        <w:rPr>
          <w:color w:val="000000"/>
          <w:sz w:val="20"/>
          <w:szCs w:val="20"/>
        </w:rPr>
        <w:t>., 1(3):137–155.</w:t>
      </w:r>
    </w:p>
    <w:p w14:paraId="5203D7FC" w14:textId="77777777" w:rsidR="00A726FB" w:rsidRDefault="00B26444">
      <w:pPr>
        <w:numPr>
          <w:ilvl w:val="0"/>
          <w:numId w:val="3"/>
        </w:numPr>
        <w:pBdr>
          <w:top w:val="nil"/>
          <w:left w:val="nil"/>
          <w:bottom w:val="nil"/>
          <w:right w:val="nil"/>
          <w:between w:val="nil"/>
        </w:pBdr>
        <w:spacing w:after="0" w:line="240" w:lineRule="auto"/>
      </w:pPr>
      <w:r>
        <w:rPr>
          <w:color w:val="000000"/>
          <w:sz w:val="20"/>
          <w:szCs w:val="20"/>
        </w:rPr>
        <w:t xml:space="preserve">Hoek, E. and Martin, C. D. (2014). Fracture initiation and propagation in intact rock–a review. </w:t>
      </w:r>
      <w:r>
        <w:rPr>
          <w:i/>
          <w:color w:val="000000"/>
          <w:sz w:val="20"/>
          <w:szCs w:val="20"/>
        </w:rPr>
        <w:t xml:space="preserve">J. Rock Mech. Geotech. </w:t>
      </w:r>
      <w:proofErr w:type="spellStart"/>
      <w:r>
        <w:rPr>
          <w:i/>
          <w:color w:val="000000"/>
          <w:sz w:val="20"/>
          <w:szCs w:val="20"/>
        </w:rPr>
        <w:t>Engng</w:t>
      </w:r>
      <w:proofErr w:type="spellEnd"/>
      <w:r>
        <w:rPr>
          <w:i/>
          <w:color w:val="000000"/>
          <w:sz w:val="20"/>
          <w:szCs w:val="20"/>
        </w:rPr>
        <w:t>.</w:t>
      </w:r>
      <w:r>
        <w:rPr>
          <w:color w:val="000000"/>
          <w:sz w:val="20"/>
          <w:szCs w:val="20"/>
        </w:rPr>
        <w:t>, 6(4):287–300.</w:t>
      </w:r>
    </w:p>
    <w:p w14:paraId="5203D7FD" w14:textId="77777777" w:rsidR="00A726FB" w:rsidRDefault="00B26444">
      <w:pPr>
        <w:numPr>
          <w:ilvl w:val="0"/>
          <w:numId w:val="3"/>
        </w:numPr>
        <w:pBdr>
          <w:top w:val="nil"/>
          <w:left w:val="nil"/>
          <w:bottom w:val="nil"/>
          <w:right w:val="nil"/>
          <w:between w:val="nil"/>
        </w:pBdr>
        <w:spacing w:after="0" w:line="240" w:lineRule="auto"/>
        <w:rPr>
          <w:color w:val="000000"/>
        </w:rPr>
      </w:pPr>
      <w:proofErr w:type="spellStart"/>
      <w:r>
        <w:rPr>
          <w:color w:val="000000"/>
          <w:sz w:val="20"/>
          <w:szCs w:val="20"/>
        </w:rPr>
        <w:t>Madyarov</w:t>
      </w:r>
      <w:proofErr w:type="spellEnd"/>
      <w:r>
        <w:rPr>
          <w:color w:val="000000"/>
          <w:sz w:val="20"/>
          <w:szCs w:val="20"/>
        </w:rPr>
        <w:t xml:space="preserve">, A., </w:t>
      </w:r>
      <w:proofErr w:type="spellStart"/>
      <w:r>
        <w:rPr>
          <w:color w:val="000000"/>
          <w:sz w:val="20"/>
          <w:szCs w:val="20"/>
        </w:rPr>
        <w:t>Prioul</w:t>
      </w:r>
      <w:proofErr w:type="spellEnd"/>
      <w:r>
        <w:rPr>
          <w:color w:val="000000"/>
          <w:sz w:val="20"/>
          <w:szCs w:val="20"/>
        </w:rPr>
        <w:t xml:space="preserve">, R., Zutshi, A., </w:t>
      </w:r>
      <w:proofErr w:type="spellStart"/>
      <w:r>
        <w:rPr>
          <w:color w:val="000000"/>
          <w:sz w:val="20"/>
          <w:szCs w:val="20"/>
        </w:rPr>
        <w:t>Seprodi</w:t>
      </w:r>
      <w:proofErr w:type="spellEnd"/>
      <w:r>
        <w:rPr>
          <w:color w:val="000000"/>
          <w:sz w:val="20"/>
          <w:szCs w:val="20"/>
        </w:rPr>
        <w:t xml:space="preserve">, N., Groves, D., Pei, J., and Wong, S.-W. (2021). Understanding the impact of completion designs on multi-stage fracturing via block test experiments. In </w:t>
      </w:r>
      <w:r>
        <w:rPr>
          <w:i/>
          <w:color w:val="000000"/>
          <w:sz w:val="20"/>
          <w:szCs w:val="20"/>
        </w:rPr>
        <w:t>Proc. 55th US Rock Mechanics/ Geomechanics Symposium</w:t>
      </w:r>
      <w:r>
        <w:rPr>
          <w:color w:val="000000"/>
          <w:sz w:val="20"/>
          <w:szCs w:val="20"/>
        </w:rPr>
        <w:t>, Houston, TX. American Rock Mechanics Association.</w:t>
      </w:r>
    </w:p>
    <w:p w14:paraId="5203D7FE" w14:textId="77777777" w:rsidR="00A726FB" w:rsidRDefault="00B26444">
      <w:pPr>
        <w:numPr>
          <w:ilvl w:val="0"/>
          <w:numId w:val="3"/>
        </w:numPr>
        <w:pBdr>
          <w:top w:val="nil"/>
          <w:left w:val="nil"/>
          <w:bottom w:val="nil"/>
          <w:right w:val="nil"/>
          <w:between w:val="nil"/>
        </w:pBdr>
        <w:spacing w:after="0" w:line="240" w:lineRule="auto"/>
      </w:pPr>
      <w:r>
        <w:rPr>
          <w:color w:val="000000"/>
          <w:sz w:val="20"/>
          <w:szCs w:val="20"/>
        </w:rPr>
        <w:t xml:space="preserve">Zoback, M. L., Zoback, M. D., Adams, J., </w:t>
      </w:r>
      <w:proofErr w:type="spellStart"/>
      <w:r>
        <w:rPr>
          <w:color w:val="000000"/>
          <w:sz w:val="20"/>
          <w:szCs w:val="20"/>
        </w:rPr>
        <w:t>Assumpcao</w:t>
      </w:r>
      <w:proofErr w:type="spellEnd"/>
      <w:r>
        <w:rPr>
          <w:color w:val="000000"/>
          <w:sz w:val="20"/>
          <w:szCs w:val="20"/>
        </w:rPr>
        <w:t xml:space="preserve">, M., Bell, S., Bergman, E., </w:t>
      </w:r>
      <w:proofErr w:type="spellStart"/>
      <w:r>
        <w:rPr>
          <w:color w:val="000000"/>
          <w:sz w:val="20"/>
          <w:szCs w:val="20"/>
        </w:rPr>
        <w:t>Blümling</w:t>
      </w:r>
      <w:proofErr w:type="spellEnd"/>
      <w:r>
        <w:rPr>
          <w:color w:val="000000"/>
          <w:sz w:val="20"/>
          <w:szCs w:val="20"/>
        </w:rPr>
        <w:t xml:space="preserve">, P., Brereton, N., Denham, D., Ding, J., Fuchs, K., Gay, N., Gregersen, S., Gupta, H., </w:t>
      </w:r>
      <w:proofErr w:type="spellStart"/>
      <w:r>
        <w:rPr>
          <w:color w:val="000000"/>
          <w:sz w:val="20"/>
          <w:szCs w:val="20"/>
        </w:rPr>
        <w:t>Gvishiani</w:t>
      </w:r>
      <w:proofErr w:type="spellEnd"/>
      <w:r>
        <w:rPr>
          <w:color w:val="000000"/>
          <w:sz w:val="20"/>
          <w:szCs w:val="20"/>
        </w:rPr>
        <w:t xml:space="preserve">, A., Jacob, K., Klein, R., Knoll, P., Magee, M., Mercier, J., </w:t>
      </w:r>
      <w:proofErr w:type="spellStart"/>
      <w:r>
        <w:rPr>
          <w:color w:val="000000"/>
          <w:sz w:val="20"/>
          <w:szCs w:val="20"/>
        </w:rPr>
        <w:t>Müller</w:t>
      </w:r>
      <w:proofErr w:type="spellEnd"/>
      <w:r>
        <w:rPr>
          <w:color w:val="000000"/>
          <w:sz w:val="20"/>
          <w:szCs w:val="20"/>
        </w:rPr>
        <w:t xml:space="preserve">, B., Paquin, C., Rajendran, K., Stephansson, O., Suarez, G., Suter, M., </w:t>
      </w:r>
      <w:proofErr w:type="spellStart"/>
      <w:r>
        <w:rPr>
          <w:color w:val="000000"/>
          <w:sz w:val="20"/>
          <w:szCs w:val="20"/>
        </w:rPr>
        <w:t>Udias</w:t>
      </w:r>
      <w:proofErr w:type="spellEnd"/>
      <w:r>
        <w:rPr>
          <w:color w:val="000000"/>
          <w:sz w:val="20"/>
          <w:szCs w:val="20"/>
        </w:rPr>
        <w:t xml:space="preserve">, A., Xu, Z., and </w:t>
      </w:r>
      <w:proofErr w:type="spellStart"/>
      <w:r>
        <w:rPr>
          <w:color w:val="000000"/>
          <w:sz w:val="20"/>
          <w:szCs w:val="20"/>
        </w:rPr>
        <w:t>Zhizhin</w:t>
      </w:r>
      <w:proofErr w:type="spellEnd"/>
      <w:r>
        <w:rPr>
          <w:color w:val="000000"/>
          <w:sz w:val="20"/>
          <w:szCs w:val="20"/>
        </w:rPr>
        <w:t xml:space="preserve">, M. (1989). Global patterns of tectonic stress. </w:t>
      </w:r>
      <w:r>
        <w:rPr>
          <w:i/>
          <w:color w:val="000000"/>
          <w:sz w:val="20"/>
          <w:szCs w:val="20"/>
        </w:rPr>
        <w:t>Nature</w:t>
      </w:r>
      <w:r>
        <w:rPr>
          <w:color w:val="000000"/>
          <w:sz w:val="20"/>
          <w:szCs w:val="20"/>
        </w:rPr>
        <w:t>, 341(6240):291–298.</w:t>
      </w:r>
    </w:p>
    <w:sectPr w:rsidR="00A726FB">
      <w:headerReference w:type="default" r:id="rId14"/>
      <w:footerReference w:type="default" r:id="rId15"/>
      <w:pgSz w:w="12240" w:h="15840"/>
      <w:pgMar w:top="1418" w:right="1134" w:bottom="1418" w:left="1134" w:header="0" w:footer="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INEETH REDDY KARNATI" w:date="2025-03-11T09:11:00Z" w:initials="">
    <w:p w14:paraId="5203D801" w14:textId="77777777" w:rsidR="00A726FB" w:rsidRDefault="00B26444">
      <w:pPr>
        <w:widowControl w:val="0"/>
        <w:pBdr>
          <w:top w:val="nil"/>
          <w:left w:val="nil"/>
          <w:bottom w:val="nil"/>
          <w:right w:val="nil"/>
          <w:between w:val="nil"/>
        </w:pBdr>
        <w:spacing w:after="0" w:line="240" w:lineRule="auto"/>
        <w:jc w:val="left"/>
        <w:rPr>
          <w:rFonts w:ascii="Arial" w:eastAsia="Arial" w:hAnsi="Arial" w:cs="Arial"/>
          <w:color w:val="000000"/>
        </w:rPr>
      </w:pPr>
      <w:r>
        <w:rPr>
          <w:rFonts w:ascii="Arial" w:eastAsia="Arial" w:hAnsi="Arial" w:cs="Arial"/>
          <w:color w:val="000000"/>
        </w:rPr>
        <w:t>Delete this highlighted portion after entering the names of all the members.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03D8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03D801" w16cid:durableId="5203D8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3D80A" w14:textId="77777777" w:rsidR="00B26444" w:rsidRDefault="00B26444">
      <w:pPr>
        <w:spacing w:after="0" w:line="240" w:lineRule="auto"/>
      </w:pPr>
      <w:r>
        <w:separator/>
      </w:r>
    </w:p>
  </w:endnote>
  <w:endnote w:type="continuationSeparator" w:id="0">
    <w:p w14:paraId="5203D80C" w14:textId="77777777" w:rsidR="00B26444" w:rsidRDefault="00B26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CA87C127-C14A-4769-A7C7-E0CF79134C3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2" w:fontKey="{271E3741-F63A-4D9D-BA08-E475985E9517}"/>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3" w:fontKey="{FBA31E7C-2890-4341-9615-35275008755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D803" w14:textId="5555EE72" w:rsidR="00A726FB" w:rsidRDefault="00B26444">
    <w:pPr>
      <w:pBdr>
        <w:top w:val="nil"/>
        <w:left w:val="nil"/>
        <w:bottom w:val="nil"/>
        <w:right w:val="nil"/>
        <w:between w:val="nil"/>
      </w:pBdr>
      <w:tabs>
        <w:tab w:val="center" w:pos="4320"/>
        <w:tab w:val="right" w:pos="8640"/>
      </w:tabs>
      <w:spacing w:after="0" w:line="240" w:lineRule="auto"/>
      <w:ind w:right="474"/>
      <w:jc w:val="right"/>
      <w:rPr>
        <w:color w:val="000000"/>
      </w:rPr>
    </w:pPr>
    <w:r>
      <w:rPr>
        <w:color w:val="000000"/>
        <w:highlight w:val="yellow"/>
      </w:rPr>
      <w:t>TEAM NAME</w:t>
    </w:r>
    <w:r>
      <w:rPr>
        <w:color w:val="000000"/>
      </w:rPr>
      <w:t xml:space="preserve">                                   </w:t>
    </w:r>
    <w:r>
      <w:rPr>
        <w:color w:val="000000"/>
      </w:rPr>
      <w:tab/>
    </w:r>
    <w:r>
      <w:rPr>
        <w:color w:val="000000"/>
      </w:rPr>
      <w:tab/>
      <w:t xml:space="preserve">Page |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w:t>
    </w:r>
  </w:p>
  <w:p w14:paraId="5203D804" w14:textId="77777777" w:rsidR="00A726FB" w:rsidRDefault="00A726FB">
    <w:pPr>
      <w:pBdr>
        <w:top w:val="nil"/>
        <w:left w:val="nil"/>
        <w:bottom w:val="nil"/>
        <w:right w:val="nil"/>
        <w:between w:val="nil"/>
      </w:pBdr>
      <w:tabs>
        <w:tab w:val="center" w:pos="4320"/>
        <w:tab w:val="right" w:pos="8640"/>
      </w:tabs>
      <w:spacing w:after="0" w:line="240" w:lineRule="auto"/>
      <w:jc w:val="right"/>
      <w:rPr>
        <w:color w:val="000000"/>
      </w:rPr>
    </w:pPr>
  </w:p>
  <w:p w14:paraId="5203D805" w14:textId="77777777" w:rsidR="00A726FB" w:rsidRDefault="00A726FB">
    <w:pPr>
      <w:pBdr>
        <w:top w:val="nil"/>
        <w:left w:val="nil"/>
        <w:bottom w:val="nil"/>
        <w:right w:val="nil"/>
        <w:between w:val="nil"/>
      </w:pBdr>
      <w:tabs>
        <w:tab w:val="center" w:pos="4320"/>
        <w:tab w:val="right" w:pos="864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3D806" w14:textId="77777777" w:rsidR="00B26444" w:rsidRDefault="00B26444">
      <w:pPr>
        <w:spacing w:after="0" w:line="240" w:lineRule="auto"/>
      </w:pPr>
      <w:r>
        <w:separator/>
      </w:r>
    </w:p>
  </w:footnote>
  <w:footnote w:type="continuationSeparator" w:id="0">
    <w:p w14:paraId="5203D808" w14:textId="77777777" w:rsidR="00B26444" w:rsidRDefault="00B26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D802" w14:textId="77777777" w:rsidR="00A726FB" w:rsidRDefault="00B26444">
    <w:pPr>
      <w:pBdr>
        <w:top w:val="nil"/>
        <w:left w:val="nil"/>
        <w:bottom w:val="nil"/>
        <w:right w:val="nil"/>
        <w:between w:val="nil"/>
      </w:pBdr>
      <w:tabs>
        <w:tab w:val="center" w:pos="4320"/>
        <w:tab w:val="right" w:pos="8640"/>
      </w:tabs>
      <w:spacing w:after="0" w:line="240" w:lineRule="auto"/>
      <w:jc w:val="right"/>
      <w:rPr>
        <w:color w:val="000000"/>
      </w:rPr>
    </w:pPr>
    <w:r>
      <w:rPr>
        <w:noProof/>
      </w:rPr>
      <w:drawing>
        <wp:anchor distT="0" distB="0" distL="114300" distR="114300" simplePos="0" relativeHeight="251658240" behindDoc="0" locked="0" layoutInCell="1" hidden="0" allowOverlap="1" wp14:anchorId="5203D806" wp14:editId="5203D807">
          <wp:simplePos x="0" y="0"/>
          <wp:positionH relativeFrom="column">
            <wp:posOffset>2615565</wp:posOffset>
          </wp:positionH>
          <wp:positionV relativeFrom="paragraph">
            <wp:posOffset>-32003</wp:posOffset>
          </wp:positionV>
          <wp:extent cx="1228725" cy="817245"/>
          <wp:effectExtent l="0" t="0" r="0" b="0"/>
          <wp:wrapSquare wrapText="bothSides" distT="0" distB="0" distL="114300" distR="114300"/>
          <wp:docPr id="522390063" name="image2.png" descr="American Rock Mechanics Association"/>
          <wp:cNvGraphicFramePr/>
          <a:graphic xmlns:a="http://schemas.openxmlformats.org/drawingml/2006/main">
            <a:graphicData uri="http://schemas.openxmlformats.org/drawingml/2006/picture">
              <pic:pic xmlns:pic="http://schemas.openxmlformats.org/drawingml/2006/picture">
                <pic:nvPicPr>
                  <pic:cNvPr id="0" name="image2.png" descr="American Rock Mechanics Association"/>
                  <pic:cNvPicPr preferRelativeResize="0"/>
                </pic:nvPicPr>
                <pic:blipFill>
                  <a:blip r:embed="rId1"/>
                  <a:srcRect/>
                  <a:stretch>
                    <a:fillRect/>
                  </a:stretch>
                </pic:blipFill>
                <pic:spPr>
                  <a:xfrm>
                    <a:off x="0" y="0"/>
                    <a:ext cx="1228725" cy="81724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5ECD"/>
    <w:multiLevelType w:val="multilevel"/>
    <w:tmpl w:val="685A9F72"/>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72A2075"/>
    <w:multiLevelType w:val="multilevel"/>
    <w:tmpl w:val="E6B087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FC26C96"/>
    <w:multiLevelType w:val="multilevel"/>
    <w:tmpl w:val="1F30CCAA"/>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87614EB"/>
    <w:multiLevelType w:val="multilevel"/>
    <w:tmpl w:val="7E02912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64517965">
    <w:abstractNumId w:val="3"/>
  </w:num>
  <w:num w:numId="2" w16cid:durableId="1511333627">
    <w:abstractNumId w:val="2"/>
  </w:num>
  <w:num w:numId="3" w16cid:durableId="80836105">
    <w:abstractNumId w:val="1"/>
  </w:num>
  <w:num w:numId="4" w16cid:durableId="10669493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NEETH REDDY KARNATI">
    <w15:presenceInfo w15:providerId="AD" w15:userId="S::vrkarnati@etu.uqac.ca::2019d168-40d4-4e87-88b1-eb6b993f50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6FB"/>
    <w:rsid w:val="00A726FB"/>
    <w:rsid w:val="00B26444"/>
    <w:rsid w:val="00E269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D7B6"/>
  <w15:docId w15:val="{99123330-3C04-421C-9C14-9E2DAEC0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IN" w:eastAsia="en-CA"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05A"/>
  </w:style>
  <w:style w:type="paragraph" w:styleId="Heading1">
    <w:name w:val="heading 1"/>
    <w:basedOn w:val="Normal"/>
    <w:next w:val="Normal"/>
    <w:link w:val="Heading1Char"/>
    <w:uiPriority w:val="9"/>
    <w:qFormat/>
    <w:rsid w:val="00241FD2"/>
    <w:pPr>
      <w:keepNext/>
      <w:keepLines/>
      <w:numPr>
        <w:numId w:val="2"/>
      </w:numPr>
      <w:spacing w:before="120" w:line="240" w:lineRule="auto"/>
      <w:outlineLvl w:val="0"/>
    </w:pPr>
    <w:rPr>
      <w:rFonts w:eastAsiaTheme="majorEastAsia" w:cstheme="majorBidi"/>
      <w:b/>
      <w:caps/>
      <w:szCs w:val="40"/>
    </w:rPr>
  </w:style>
  <w:style w:type="paragraph" w:styleId="Heading2">
    <w:name w:val="heading 2"/>
    <w:basedOn w:val="Normal"/>
    <w:next w:val="Normal"/>
    <w:link w:val="Heading2Char"/>
    <w:uiPriority w:val="9"/>
    <w:unhideWhenUsed/>
    <w:qFormat/>
    <w:rsid w:val="0096150A"/>
    <w:pPr>
      <w:keepNext/>
      <w:keepLines/>
      <w:numPr>
        <w:ilvl w:val="1"/>
        <w:numId w:val="2"/>
      </w:numPr>
      <w:spacing w:before="120"/>
      <w:ind w:left="567" w:hanging="567"/>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1161EA"/>
    <w:pPr>
      <w:keepNext/>
      <w:keepLines/>
      <w:numPr>
        <w:ilvl w:val="2"/>
        <w:numId w:val="2"/>
      </w:numPr>
      <w:spacing w:before="120"/>
      <w:ind w:left="567" w:hanging="567"/>
      <w:outlineLvl w:val="2"/>
    </w:pPr>
    <w:rPr>
      <w:rFonts w:eastAsiaTheme="majorEastAsia" w:cstheme="majorBidi"/>
      <w:b/>
      <w:i/>
      <w:szCs w:val="28"/>
    </w:rPr>
  </w:style>
  <w:style w:type="paragraph" w:styleId="Heading4">
    <w:name w:val="heading 4"/>
    <w:basedOn w:val="Normal"/>
    <w:next w:val="Normal"/>
    <w:link w:val="Heading4Char"/>
    <w:uiPriority w:val="9"/>
    <w:semiHidden/>
    <w:unhideWhenUsed/>
    <w:qFormat/>
    <w:rsid w:val="00C359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9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9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9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9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9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35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41FD2"/>
    <w:rPr>
      <w:rFonts w:ascii="Times New Roman" w:eastAsiaTheme="majorEastAsia" w:hAnsi="Times New Roman" w:cstheme="majorBidi"/>
      <w:b/>
      <w:caps/>
      <w:szCs w:val="40"/>
      <w:lang w:val="en-IN"/>
    </w:rPr>
  </w:style>
  <w:style w:type="character" w:customStyle="1" w:styleId="Heading2Char">
    <w:name w:val="Heading 2 Char"/>
    <w:basedOn w:val="DefaultParagraphFont"/>
    <w:link w:val="Heading2"/>
    <w:uiPriority w:val="9"/>
    <w:rsid w:val="0096150A"/>
    <w:rPr>
      <w:rFonts w:ascii="Times New Roman" w:eastAsiaTheme="majorEastAsia" w:hAnsi="Times New Roman" w:cstheme="majorBidi"/>
      <w:b/>
      <w:szCs w:val="32"/>
      <w:lang w:val="en-IN"/>
    </w:rPr>
  </w:style>
  <w:style w:type="character" w:customStyle="1" w:styleId="Heading3Char">
    <w:name w:val="Heading 3 Char"/>
    <w:basedOn w:val="DefaultParagraphFont"/>
    <w:link w:val="Heading3"/>
    <w:uiPriority w:val="9"/>
    <w:rsid w:val="001161EA"/>
    <w:rPr>
      <w:rFonts w:ascii="Times New Roman" w:eastAsiaTheme="majorEastAsia" w:hAnsi="Times New Roman" w:cstheme="majorBidi"/>
      <w:b/>
      <w:i/>
      <w:szCs w:val="28"/>
      <w:lang w:val="en-IN"/>
    </w:rPr>
  </w:style>
  <w:style w:type="character" w:customStyle="1" w:styleId="Heading4Char">
    <w:name w:val="Heading 4 Char"/>
    <w:basedOn w:val="DefaultParagraphFont"/>
    <w:link w:val="Heading4"/>
    <w:uiPriority w:val="9"/>
    <w:semiHidden/>
    <w:rsid w:val="00C3599A"/>
    <w:rPr>
      <w:rFonts w:eastAsiaTheme="majorEastAsia" w:cstheme="majorBidi"/>
      <w:i/>
      <w:iCs/>
      <w:color w:val="0F4761" w:themeColor="accent1" w:themeShade="BF"/>
      <w:lang w:val="en-IN"/>
    </w:rPr>
  </w:style>
  <w:style w:type="character" w:customStyle="1" w:styleId="Heading5Char">
    <w:name w:val="Heading 5 Char"/>
    <w:basedOn w:val="DefaultParagraphFont"/>
    <w:link w:val="Heading5"/>
    <w:uiPriority w:val="9"/>
    <w:semiHidden/>
    <w:rsid w:val="00C3599A"/>
    <w:rPr>
      <w:rFonts w:eastAsiaTheme="majorEastAsia" w:cstheme="majorBidi"/>
      <w:color w:val="0F4761" w:themeColor="accent1" w:themeShade="BF"/>
      <w:lang w:val="en-IN"/>
    </w:rPr>
  </w:style>
  <w:style w:type="character" w:customStyle="1" w:styleId="Heading6Char">
    <w:name w:val="Heading 6 Char"/>
    <w:basedOn w:val="DefaultParagraphFont"/>
    <w:link w:val="Heading6"/>
    <w:uiPriority w:val="9"/>
    <w:semiHidden/>
    <w:rsid w:val="00C3599A"/>
    <w:rPr>
      <w:rFonts w:eastAsiaTheme="majorEastAsia" w:cstheme="majorBidi"/>
      <w:i/>
      <w:iCs/>
      <w:color w:val="595959" w:themeColor="text1" w:themeTint="A6"/>
      <w:lang w:val="en-IN"/>
    </w:rPr>
  </w:style>
  <w:style w:type="character" w:customStyle="1" w:styleId="Heading7Char">
    <w:name w:val="Heading 7 Char"/>
    <w:basedOn w:val="DefaultParagraphFont"/>
    <w:link w:val="Heading7"/>
    <w:uiPriority w:val="9"/>
    <w:semiHidden/>
    <w:rsid w:val="00C3599A"/>
    <w:rPr>
      <w:rFonts w:eastAsiaTheme="majorEastAsia" w:cstheme="majorBidi"/>
      <w:color w:val="595959" w:themeColor="text1" w:themeTint="A6"/>
      <w:lang w:val="en-IN"/>
    </w:rPr>
  </w:style>
  <w:style w:type="character" w:customStyle="1" w:styleId="Heading8Char">
    <w:name w:val="Heading 8 Char"/>
    <w:basedOn w:val="DefaultParagraphFont"/>
    <w:link w:val="Heading8"/>
    <w:uiPriority w:val="9"/>
    <w:semiHidden/>
    <w:rsid w:val="00C3599A"/>
    <w:rPr>
      <w:rFonts w:eastAsiaTheme="majorEastAsia" w:cstheme="majorBidi"/>
      <w:i/>
      <w:iCs/>
      <w:color w:val="272727" w:themeColor="text1" w:themeTint="D8"/>
      <w:lang w:val="en-IN"/>
    </w:rPr>
  </w:style>
  <w:style w:type="character" w:customStyle="1" w:styleId="Heading9Char">
    <w:name w:val="Heading 9 Char"/>
    <w:basedOn w:val="DefaultParagraphFont"/>
    <w:link w:val="Heading9"/>
    <w:uiPriority w:val="9"/>
    <w:semiHidden/>
    <w:rsid w:val="00C3599A"/>
    <w:rPr>
      <w:rFonts w:eastAsiaTheme="majorEastAsia" w:cstheme="majorBidi"/>
      <w:color w:val="272727" w:themeColor="text1" w:themeTint="D8"/>
      <w:lang w:val="en-IN"/>
    </w:rPr>
  </w:style>
  <w:style w:type="character" w:customStyle="1" w:styleId="TitleChar">
    <w:name w:val="Title Char"/>
    <w:basedOn w:val="DefaultParagraphFont"/>
    <w:link w:val="Title"/>
    <w:uiPriority w:val="10"/>
    <w:rsid w:val="00C3599A"/>
    <w:rPr>
      <w:rFonts w:asciiTheme="majorHAnsi" w:eastAsiaTheme="majorEastAsia" w:hAnsiTheme="majorHAnsi" w:cstheme="majorBidi"/>
      <w:spacing w:val="-10"/>
      <w:kern w:val="28"/>
      <w:sz w:val="56"/>
      <w:szCs w:val="56"/>
      <w:lang w:val="en-IN"/>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C3599A"/>
    <w:rPr>
      <w:rFonts w:eastAsiaTheme="majorEastAsia" w:cstheme="majorBidi"/>
      <w:color w:val="595959" w:themeColor="text1" w:themeTint="A6"/>
      <w:spacing w:val="15"/>
      <w:sz w:val="28"/>
      <w:szCs w:val="28"/>
      <w:lang w:val="en-IN"/>
    </w:rPr>
  </w:style>
  <w:style w:type="paragraph" w:styleId="Quote">
    <w:name w:val="Quote"/>
    <w:basedOn w:val="Normal"/>
    <w:next w:val="Normal"/>
    <w:link w:val="QuoteChar"/>
    <w:uiPriority w:val="29"/>
    <w:qFormat/>
    <w:rsid w:val="00C3599A"/>
    <w:pPr>
      <w:spacing w:before="160"/>
      <w:jc w:val="center"/>
    </w:pPr>
    <w:rPr>
      <w:i/>
      <w:iCs/>
      <w:color w:val="404040" w:themeColor="text1" w:themeTint="BF"/>
    </w:rPr>
  </w:style>
  <w:style w:type="character" w:customStyle="1" w:styleId="QuoteChar">
    <w:name w:val="Quote Char"/>
    <w:basedOn w:val="DefaultParagraphFont"/>
    <w:link w:val="Quote"/>
    <w:uiPriority w:val="29"/>
    <w:rsid w:val="00C3599A"/>
    <w:rPr>
      <w:i/>
      <w:iCs/>
      <w:color w:val="404040" w:themeColor="text1" w:themeTint="BF"/>
      <w:lang w:val="en-IN"/>
    </w:rPr>
  </w:style>
  <w:style w:type="paragraph" w:styleId="ListParagraph">
    <w:name w:val="List Paragraph"/>
    <w:basedOn w:val="Normal"/>
    <w:uiPriority w:val="34"/>
    <w:qFormat/>
    <w:rsid w:val="00C3599A"/>
    <w:pPr>
      <w:ind w:left="720"/>
      <w:contextualSpacing/>
    </w:pPr>
  </w:style>
  <w:style w:type="character" w:styleId="IntenseEmphasis">
    <w:name w:val="Intense Emphasis"/>
    <w:basedOn w:val="DefaultParagraphFont"/>
    <w:uiPriority w:val="21"/>
    <w:qFormat/>
    <w:rsid w:val="00C3599A"/>
    <w:rPr>
      <w:i/>
      <w:iCs/>
      <w:color w:val="0F4761" w:themeColor="accent1" w:themeShade="BF"/>
    </w:rPr>
  </w:style>
  <w:style w:type="paragraph" w:styleId="IntenseQuote">
    <w:name w:val="Intense Quote"/>
    <w:basedOn w:val="Normal"/>
    <w:next w:val="Normal"/>
    <w:link w:val="IntenseQuoteChar"/>
    <w:uiPriority w:val="30"/>
    <w:qFormat/>
    <w:rsid w:val="00C359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99A"/>
    <w:rPr>
      <w:i/>
      <w:iCs/>
      <w:color w:val="0F4761" w:themeColor="accent1" w:themeShade="BF"/>
      <w:lang w:val="en-IN"/>
    </w:rPr>
  </w:style>
  <w:style w:type="character" w:styleId="IntenseReference">
    <w:name w:val="Intense Reference"/>
    <w:basedOn w:val="DefaultParagraphFont"/>
    <w:uiPriority w:val="32"/>
    <w:qFormat/>
    <w:rsid w:val="00C3599A"/>
    <w:rPr>
      <w:b/>
      <w:bCs/>
      <w:smallCaps/>
      <w:color w:val="0F4761" w:themeColor="accent1" w:themeShade="BF"/>
      <w:spacing w:val="5"/>
    </w:rPr>
  </w:style>
  <w:style w:type="paragraph" w:styleId="Header">
    <w:name w:val="header"/>
    <w:basedOn w:val="Normal"/>
    <w:link w:val="HeaderChar"/>
    <w:uiPriority w:val="99"/>
    <w:unhideWhenUsed/>
    <w:rsid w:val="00785E52"/>
    <w:pPr>
      <w:tabs>
        <w:tab w:val="center" w:pos="4320"/>
        <w:tab w:val="right" w:pos="8640"/>
      </w:tabs>
      <w:spacing w:after="0" w:line="240" w:lineRule="auto"/>
    </w:pPr>
  </w:style>
  <w:style w:type="character" w:customStyle="1" w:styleId="HeaderChar">
    <w:name w:val="Header Char"/>
    <w:basedOn w:val="DefaultParagraphFont"/>
    <w:link w:val="Header"/>
    <w:uiPriority w:val="99"/>
    <w:rsid w:val="00785E52"/>
    <w:rPr>
      <w:lang w:val="en-IN"/>
    </w:rPr>
  </w:style>
  <w:style w:type="paragraph" w:styleId="Footer">
    <w:name w:val="footer"/>
    <w:basedOn w:val="Normal"/>
    <w:link w:val="FooterChar"/>
    <w:unhideWhenUsed/>
    <w:rsid w:val="00785E52"/>
    <w:pPr>
      <w:tabs>
        <w:tab w:val="center" w:pos="4320"/>
        <w:tab w:val="right" w:pos="8640"/>
      </w:tabs>
      <w:spacing w:after="0" w:line="240" w:lineRule="auto"/>
    </w:pPr>
  </w:style>
  <w:style w:type="character" w:customStyle="1" w:styleId="FooterChar">
    <w:name w:val="Footer Char"/>
    <w:basedOn w:val="DefaultParagraphFont"/>
    <w:link w:val="Footer"/>
    <w:rsid w:val="00785E52"/>
    <w:rPr>
      <w:lang w:val="en-IN"/>
    </w:rPr>
  </w:style>
  <w:style w:type="character" w:styleId="CommentReference">
    <w:name w:val="annotation reference"/>
    <w:basedOn w:val="DefaultParagraphFont"/>
    <w:uiPriority w:val="99"/>
    <w:semiHidden/>
    <w:unhideWhenUsed/>
    <w:rsid w:val="00BF32DB"/>
    <w:rPr>
      <w:sz w:val="16"/>
      <w:szCs w:val="16"/>
    </w:rPr>
  </w:style>
  <w:style w:type="paragraph" w:styleId="CommentText">
    <w:name w:val="annotation text"/>
    <w:basedOn w:val="Normal"/>
    <w:link w:val="CommentTextChar"/>
    <w:uiPriority w:val="99"/>
    <w:unhideWhenUsed/>
    <w:rsid w:val="00BF32DB"/>
    <w:pPr>
      <w:spacing w:line="240" w:lineRule="auto"/>
    </w:pPr>
    <w:rPr>
      <w:sz w:val="20"/>
      <w:szCs w:val="20"/>
    </w:rPr>
  </w:style>
  <w:style w:type="character" w:customStyle="1" w:styleId="CommentTextChar">
    <w:name w:val="Comment Text Char"/>
    <w:basedOn w:val="DefaultParagraphFont"/>
    <w:link w:val="CommentText"/>
    <w:uiPriority w:val="99"/>
    <w:rsid w:val="00BF32DB"/>
    <w:rPr>
      <w:sz w:val="20"/>
      <w:szCs w:val="20"/>
      <w:lang w:val="en-IN"/>
    </w:rPr>
  </w:style>
  <w:style w:type="paragraph" w:styleId="CommentSubject">
    <w:name w:val="annotation subject"/>
    <w:basedOn w:val="CommentText"/>
    <w:next w:val="CommentText"/>
    <w:link w:val="CommentSubjectChar"/>
    <w:uiPriority w:val="99"/>
    <w:semiHidden/>
    <w:unhideWhenUsed/>
    <w:rsid w:val="00BF32DB"/>
    <w:rPr>
      <w:b/>
      <w:bCs/>
    </w:rPr>
  </w:style>
  <w:style w:type="character" w:customStyle="1" w:styleId="CommentSubjectChar">
    <w:name w:val="Comment Subject Char"/>
    <w:basedOn w:val="CommentTextChar"/>
    <w:link w:val="CommentSubject"/>
    <w:uiPriority w:val="99"/>
    <w:semiHidden/>
    <w:rsid w:val="00BF32DB"/>
    <w:rPr>
      <w:b/>
      <w:bCs/>
      <w:sz w:val="20"/>
      <w:szCs w:val="20"/>
      <w:lang w:val="en-IN"/>
    </w:rPr>
  </w:style>
  <w:style w:type="character" w:styleId="Hyperlink">
    <w:name w:val="Hyperlink"/>
    <w:basedOn w:val="DefaultParagraphFont"/>
    <w:semiHidden/>
    <w:rsid w:val="00C6371D"/>
    <w:rPr>
      <w:color w:val="0000FF"/>
      <w:u w:val="single"/>
    </w:rPr>
  </w:style>
  <w:style w:type="character" w:styleId="UnresolvedMention">
    <w:name w:val="Unresolved Mention"/>
    <w:basedOn w:val="DefaultParagraphFont"/>
    <w:uiPriority w:val="99"/>
    <w:semiHidden/>
    <w:unhideWhenUsed/>
    <w:rsid w:val="007823EE"/>
    <w:rPr>
      <w:color w:val="605E5C"/>
      <w:shd w:val="clear" w:color="auto" w:fill="E1DFDD"/>
    </w:rPr>
  </w:style>
  <w:style w:type="paragraph" w:customStyle="1" w:styleId="Paragraph-regular">
    <w:name w:val="Paragraph-regular"/>
    <w:basedOn w:val="Normal"/>
    <w:link w:val="Paragraph-regularChar"/>
    <w:rsid w:val="00E36E6A"/>
    <w:pPr>
      <w:overflowPunct w:val="0"/>
      <w:autoSpaceDE w:val="0"/>
      <w:autoSpaceDN w:val="0"/>
      <w:adjustRightInd w:val="0"/>
      <w:spacing w:after="0" w:line="240" w:lineRule="auto"/>
      <w:ind w:firstLine="284"/>
      <w:textAlignment w:val="baseline"/>
    </w:pPr>
    <w:rPr>
      <w:rFonts w:ascii="Arial" w:hAnsi="Arial"/>
      <w:snapToGrid w:val="0"/>
      <w:sz w:val="18"/>
      <w:szCs w:val="20"/>
      <w:lang w:val="en-US" w:eastAsia="fr-FR"/>
    </w:rPr>
  </w:style>
  <w:style w:type="paragraph" w:customStyle="1" w:styleId="Paragraph-indented">
    <w:name w:val="Paragraph-indented"/>
    <w:basedOn w:val="Paragraph-regular"/>
    <w:link w:val="Paragraph-indentedChar"/>
    <w:qFormat/>
    <w:rsid w:val="00E36E6A"/>
  </w:style>
  <w:style w:type="character" w:customStyle="1" w:styleId="Paragraph-regularChar">
    <w:name w:val="Paragraph-regular Char"/>
    <w:basedOn w:val="DefaultParagraphFont"/>
    <w:link w:val="Paragraph-regular"/>
    <w:rsid w:val="00E36E6A"/>
    <w:rPr>
      <w:rFonts w:ascii="Arial" w:eastAsia="Times New Roman" w:hAnsi="Arial" w:cs="Times New Roman"/>
      <w:snapToGrid w:val="0"/>
      <w:kern w:val="0"/>
      <w:sz w:val="18"/>
      <w:szCs w:val="20"/>
      <w:lang w:val="en-US" w:eastAsia="fr-FR"/>
    </w:rPr>
  </w:style>
  <w:style w:type="character" w:customStyle="1" w:styleId="Paragraph-indentedChar">
    <w:name w:val="Paragraph-indented Char"/>
    <w:basedOn w:val="Paragraph-regularChar"/>
    <w:link w:val="Paragraph-indented"/>
    <w:rsid w:val="00E36E6A"/>
    <w:rPr>
      <w:rFonts w:ascii="Arial" w:eastAsia="Times New Roman" w:hAnsi="Arial" w:cs="Times New Roman"/>
      <w:snapToGrid w:val="0"/>
      <w:kern w:val="0"/>
      <w:sz w:val="18"/>
      <w:szCs w:val="20"/>
      <w:lang w:val="en-US" w:eastAsia="fr-FR"/>
    </w:rPr>
  </w:style>
  <w:style w:type="paragraph" w:customStyle="1" w:styleId="Paragraph-First">
    <w:name w:val="Paragraph-First"/>
    <w:basedOn w:val="Normal"/>
    <w:next w:val="Paragraph-regular"/>
    <w:rsid w:val="00E201F9"/>
    <w:pPr>
      <w:overflowPunct w:val="0"/>
      <w:autoSpaceDE w:val="0"/>
      <w:autoSpaceDN w:val="0"/>
      <w:adjustRightInd w:val="0"/>
      <w:spacing w:after="0" w:line="240" w:lineRule="auto"/>
      <w:textAlignment w:val="baseline"/>
    </w:pPr>
    <w:rPr>
      <w:rFonts w:ascii="Arial" w:hAnsi="Arial"/>
      <w:sz w:val="18"/>
      <w:szCs w:val="20"/>
      <w:lang w:val="en-US"/>
    </w:rPr>
  </w:style>
  <w:style w:type="paragraph" w:customStyle="1" w:styleId="Figurecaption">
    <w:name w:val="Figure caption"/>
    <w:basedOn w:val="Figure"/>
    <w:next w:val="Normal"/>
    <w:qFormat/>
    <w:rsid w:val="00C65D93"/>
    <w:rPr>
      <w:sz w:val="20"/>
    </w:rPr>
  </w:style>
  <w:style w:type="paragraph" w:customStyle="1" w:styleId="Figure">
    <w:name w:val="Figure"/>
    <w:basedOn w:val="Normal"/>
    <w:next w:val="Figurecaption"/>
    <w:qFormat/>
    <w:rsid w:val="00C65D93"/>
    <w:pPr>
      <w:jc w:val="center"/>
    </w:pPr>
    <w:rPr>
      <w:noProof/>
      <w:lang w:val="en-CA"/>
    </w:rPr>
  </w:style>
  <w:style w:type="paragraph" w:customStyle="1" w:styleId="Table">
    <w:name w:val="Table"/>
    <w:basedOn w:val="Normal"/>
    <w:next w:val="Normal"/>
    <w:qFormat/>
    <w:rsid w:val="00C65D93"/>
    <w:pPr>
      <w:jc w:val="center"/>
    </w:pPr>
    <w:rPr>
      <w:sz w:val="20"/>
    </w:rPr>
  </w:style>
  <w:style w:type="paragraph" w:customStyle="1" w:styleId="Tablecaption">
    <w:name w:val="Table caption"/>
    <w:basedOn w:val="Normal"/>
    <w:next w:val="Table"/>
    <w:qFormat/>
    <w:rsid w:val="00C65D93"/>
    <w:pPr>
      <w:jc w:val="center"/>
    </w:pPr>
    <w:rPr>
      <w:sz w:val="20"/>
      <w:lang w:val="en-US"/>
    </w:rPr>
  </w:style>
  <w:style w:type="paragraph" w:customStyle="1" w:styleId="References">
    <w:name w:val="References"/>
    <w:basedOn w:val="ListParagraph"/>
    <w:qFormat/>
    <w:rsid w:val="000E1FDE"/>
    <w:pPr>
      <w:numPr>
        <w:numId w:val="4"/>
      </w:numPr>
      <w:autoSpaceDE w:val="0"/>
      <w:autoSpaceDN w:val="0"/>
      <w:adjustRightInd w:val="0"/>
      <w:spacing w:after="0" w:line="240" w:lineRule="auto"/>
      <w:ind w:left="357" w:hanging="357"/>
    </w:pPr>
    <w:rPr>
      <w:sz w:val="20"/>
      <w:szCs w:val="20"/>
    </w:rPr>
  </w:style>
  <w:style w:type="paragraph" w:styleId="Caption">
    <w:name w:val="caption"/>
    <w:basedOn w:val="Normal"/>
    <w:next w:val="Normal"/>
    <w:uiPriority w:val="35"/>
    <w:semiHidden/>
    <w:unhideWhenUsed/>
    <w:qFormat/>
    <w:rsid w:val="007A623C"/>
    <w:pPr>
      <w:spacing w:after="200" w:line="240" w:lineRule="auto"/>
    </w:pPr>
    <w:rPr>
      <w:i/>
      <w:iCs/>
      <w:color w:val="0E2841" w:themeColor="text2"/>
      <w:sz w:val="18"/>
      <w:szCs w:val="18"/>
    </w:rPr>
  </w:style>
  <w:style w:type="paragraph" w:customStyle="1" w:styleId="TableText">
    <w:name w:val="TableText"/>
    <w:basedOn w:val="BodyText"/>
    <w:rsid w:val="00691F1D"/>
    <w:pPr>
      <w:spacing w:after="0" w:line="240" w:lineRule="auto"/>
      <w:jc w:val="left"/>
    </w:pPr>
    <w:rPr>
      <w:sz w:val="20"/>
      <w:szCs w:val="24"/>
      <w:lang w:val="en-US"/>
    </w:rPr>
  </w:style>
  <w:style w:type="paragraph" w:styleId="BodyText">
    <w:name w:val="Body Text"/>
    <w:basedOn w:val="Normal"/>
    <w:link w:val="BodyTextChar"/>
    <w:uiPriority w:val="99"/>
    <w:semiHidden/>
    <w:unhideWhenUsed/>
    <w:rsid w:val="00691F1D"/>
  </w:style>
  <w:style w:type="character" w:customStyle="1" w:styleId="BodyTextChar">
    <w:name w:val="Body Text Char"/>
    <w:basedOn w:val="DefaultParagraphFont"/>
    <w:link w:val="BodyText"/>
    <w:uiPriority w:val="99"/>
    <w:semiHidden/>
    <w:rsid w:val="00691F1D"/>
    <w:rPr>
      <w:rFonts w:ascii="Times New Roman" w:hAnsi="Times New Roman"/>
      <w:lang w:val="en-IN"/>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rkarnati@etu.uqac.ca"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mastudentcouncil@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dUZDhGfc0QUqELSh62C8UEPIzQ==">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1096</Words>
  <Characters>6252</Characters>
  <Application>Microsoft Office Word</Application>
  <DocSecurity>0</DocSecurity>
  <Lines>52</Lines>
  <Paragraphs>14</Paragraphs>
  <ScaleCrop>false</ScaleCrop>
  <Company>UQAC</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VINEETH REDDY KARNATI</dc:creator>
  <cp:lastModifiedBy>VINEETH REDDY KARNATI</cp:lastModifiedBy>
  <cp:revision>2</cp:revision>
  <dcterms:created xsi:type="dcterms:W3CDTF">2025-03-11T12:46:00Z</dcterms:created>
  <dcterms:modified xsi:type="dcterms:W3CDTF">2025-03-11T15:38:00Z</dcterms:modified>
</cp:coreProperties>
</file>